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2C6E" w14:textId="77777777" w:rsidR="009618FB" w:rsidRPr="007A07BA" w:rsidRDefault="00CF0CE3" w:rsidP="007A07BA">
      <w:pPr>
        <w:spacing w:after="0"/>
        <w:jc w:val="center"/>
        <w:rPr>
          <w:rFonts w:asciiTheme="majorHAnsi" w:hAnsiTheme="majorHAnsi" w:cstheme="majorHAnsi"/>
          <w:b/>
          <w:bCs/>
          <w:u w:val="single"/>
          <w:lang w:val="fr-BE"/>
        </w:rPr>
      </w:pPr>
      <w:r w:rsidRPr="007A07BA">
        <w:rPr>
          <w:rFonts w:asciiTheme="majorHAnsi" w:hAnsiTheme="majorHAnsi" w:cstheme="majorHAnsi"/>
          <w:b/>
          <w:bCs/>
          <w:u w:val="single"/>
          <w:lang w:val="fr-BE"/>
        </w:rPr>
        <w:t>Termes de référence (TDR)</w:t>
      </w:r>
    </w:p>
    <w:p w14:paraId="535667E7" w14:textId="77777777" w:rsidR="009618FB" w:rsidRPr="007A07BA" w:rsidRDefault="00CF0CE3" w:rsidP="007A07BA">
      <w:pPr>
        <w:spacing w:after="0"/>
        <w:jc w:val="center"/>
        <w:rPr>
          <w:rFonts w:asciiTheme="majorHAnsi" w:hAnsiTheme="majorHAnsi" w:cstheme="majorHAnsi"/>
          <w:b/>
          <w:bCs/>
          <w:u w:val="single"/>
          <w:lang w:val="fr-BE"/>
        </w:rPr>
      </w:pPr>
      <w:r w:rsidRPr="007A07BA">
        <w:rPr>
          <w:rFonts w:asciiTheme="majorHAnsi" w:hAnsiTheme="majorHAnsi" w:cstheme="majorHAnsi"/>
          <w:b/>
          <w:bCs/>
          <w:u w:val="single"/>
          <w:lang w:val="fr-BE"/>
        </w:rPr>
        <w:t>Évaluation finale du programme commun DGD 2022–2026</w:t>
      </w:r>
    </w:p>
    <w:p w14:paraId="34DCF125" w14:textId="1E2C1330" w:rsidR="009618FB" w:rsidRPr="007A07BA" w:rsidRDefault="607D037D" w:rsidP="607D037D">
      <w:pPr>
        <w:spacing w:after="0"/>
        <w:jc w:val="center"/>
        <w:rPr>
          <w:rFonts w:asciiTheme="majorHAnsi" w:hAnsiTheme="majorHAnsi" w:cstheme="majorBidi"/>
          <w:b/>
          <w:bCs/>
          <w:u w:val="single"/>
          <w:lang w:val="fr-BE"/>
        </w:rPr>
      </w:pPr>
      <w:r w:rsidRPr="607D037D">
        <w:rPr>
          <w:rFonts w:asciiTheme="majorHAnsi" w:hAnsiTheme="majorHAnsi" w:cstheme="majorBidi"/>
          <w:b/>
          <w:bCs/>
          <w:u w:val="single"/>
          <w:lang w:val="fr-BE"/>
        </w:rPr>
        <w:t>CETRI – CNCD 11.11.11 - Oxfam-Magasins du Monde – Le Monde selon les femmes</w:t>
      </w:r>
    </w:p>
    <w:p w14:paraId="1B1BE552" w14:textId="77777777" w:rsidR="009618FB" w:rsidRPr="007A07BA" w:rsidRDefault="009618FB">
      <w:pPr>
        <w:rPr>
          <w:rFonts w:asciiTheme="majorHAnsi" w:hAnsiTheme="majorHAnsi" w:cstheme="majorHAnsi"/>
          <w:lang w:val="fr-BE"/>
        </w:rPr>
      </w:pPr>
    </w:p>
    <w:p w14:paraId="66C76051" w14:textId="5DADECA8" w:rsidR="009618FB" w:rsidRPr="007A07BA" w:rsidRDefault="00CF0CE3">
      <w:pPr>
        <w:rPr>
          <w:rFonts w:asciiTheme="majorHAnsi" w:hAnsiTheme="majorHAnsi" w:cstheme="majorHAnsi"/>
          <w:b/>
          <w:bCs/>
          <w:lang w:val="fr-BE"/>
        </w:rPr>
      </w:pPr>
      <w:r w:rsidRPr="007A07BA">
        <w:rPr>
          <w:rFonts w:asciiTheme="majorHAnsi" w:hAnsiTheme="majorHAnsi" w:cstheme="majorHAnsi"/>
          <w:b/>
          <w:bCs/>
          <w:lang w:val="fr-BE"/>
        </w:rPr>
        <w:t>1. Contexte et justification</w:t>
      </w:r>
    </w:p>
    <w:p w14:paraId="13F95E7A"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 xml:space="preserve">Le Centre national de coopération au développement (CNCD-11.11.11), le Centre tricontinental (CETRI), le Monde selon les femmes (M/F) et Oxfam-Magasins du monde (OMDM) mettent en œuvre un programme commun de cinq ans (2022-2026), cofinancé par la Direction générale Coopération au développement et Aide humanitaire (DGD) et intitulé </w:t>
      </w:r>
      <w:r w:rsidRPr="00C9388B">
        <w:rPr>
          <w:rFonts w:asciiTheme="majorHAnsi" w:hAnsiTheme="majorHAnsi" w:cstheme="majorHAnsi"/>
          <w:b/>
          <w:bCs/>
          <w:lang w:val="fr-BE"/>
        </w:rPr>
        <w:t>« Susciter, mobiliser, coordonner, renforcer, développer et diversifier l’action des citoyen·nes et de la société civile organisée pour contribuer à la réalisation des Objectifs de développement durable (ODD), avec une approche droits humains, genre, environnementale et décoloniale »</w:t>
      </w:r>
      <w:r w:rsidRPr="00C9388B">
        <w:rPr>
          <w:rFonts w:asciiTheme="majorHAnsi" w:hAnsiTheme="majorHAnsi" w:cstheme="majorHAnsi"/>
          <w:lang w:val="fr-BE"/>
        </w:rPr>
        <w:t>.</w:t>
      </w:r>
    </w:p>
    <w:p w14:paraId="60AA1907" w14:textId="2A437F08"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 xml:space="preserve">Ce programme s’inscrit dans la continuité des programmes précédents et vise à renforcer la contribution des organisations partenaires aux Objectifs de développement durable, en s’appuyant sur la mise en commun de leurs expertises, expériences et complémentarités. Il repose sur une approche basée sur les droits humains et intègre de manière transversale les enjeux de genre, d’environnement et de décolonisation, </w:t>
      </w:r>
      <w:r w:rsidR="005F7384">
        <w:rPr>
          <w:rFonts w:asciiTheme="majorHAnsi" w:hAnsiTheme="majorHAnsi" w:cstheme="majorHAnsi"/>
          <w:lang w:val="fr-BE"/>
        </w:rPr>
        <w:t>notamment en valorisant</w:t>
      </w:r>
      <w:r w:rsidRPr="00C9388B">
        <w:rPr>
          <w:rFonts w:asciiTheme="majorHAnsi" w:hAnsiTheme="majorHAnsi" w:cstheme="majorHAnsi"/>
          <w:lang w:val="fr-BE"/>
        </w:rPr>
        <w:t xml:space="preserve"> les savoirs et les expériences des partenaires du Sud.</w:t>
      </w:r>
    </w:p>
    <w:p w14:paraId="788F0FE9"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Le programme est structuré autour de deux volets complémentaires.</w:t>
      </w:r>
    </w:p>
    <w:p w14:paraId="23624CD7" w14:textId="57851EF2" w:rsidR="00C9388B" w:rsidRPr="00C9388B" w:rsidRDefault="7D117342" w:rsidP="7D117342">
      <w:pPr>
        <w:rPr>
          <w:rFonts w:asciiTheme="majorHAnsi" w:hAnsiTheme="majorHAnsi" w:cstheme="majorBidi"/>
          <w:lang w:val="fr-BE"/>
        </w:rPr>
      </w:pPr>
      <w:r w:rsidRPr="7D117342">
        <w:rPr>
          <w:rFonts w:asciiTheme="majorHAnsi" w:hAnsiTheme="majorHAnsi" w:cstheme="majorBidi"/>
          <w:lang w:val="fr-BE"/>
        </w:rPr>
        <w:t xml:space="preserve">D’une part, un </w:t>
      </w:r>
      <w:r w:rsidRPr="7D117342">
        <w:rPr>
          <w:rFonts w:asciiTheme="majorHAnsi" w:hAnsiTheme="majorHAnsi" w:cstheme="majorBidi"/>
          <w:b/>
          <w:bCs/>
          <w:lang w:val="fr-BE"/>
        </w:rPr>
        <w:t>volet Nord</w:t>
      </w:r>
      <w:r w:rsidRPr="7D117342">
        <w:rPr>
          <w:rFonts w:asciiTheme="majorHAnsi" w:hAnsiTheme="majorHAnsi" w:cstheme="majorBidi"/>
          <w:lang w:val="fr-BE"/>
        </w:rPr>
        <w:t>, centré sur la Belgique, qui s’inscrit dans le cadre stratégique commun (CSC) géographique Belgique. Ce volet constitue un programme d’éducation à la citoyenneté mondiale et solidaire (ECMS) dont la finalité est de contribuer à l’émergence de citoyen·nes critiques, informé·es et engagé·es en faveur de sociétés plus justes, durables et solidaires.</w:t>
      </w:r>
    </w:p>
    <w:p w14:paraId="0D2A9CDD"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 xml:space="preserve">Ce volet repose sur une théorie du changement commune aux organisations partenaires, qui vise à renforcer des </w:t>
      </w:r>
      <w:r w:rsidRPr="00C9388B">
        <w:rPr>
          <w:rFonts w:asciiTheme="majorHAnsi" w:hAnsiTheme="majorHAnsi" w:cstheme="majorHAnsi"/>
          <w:b/>
          <w:bCs/>
          <w:lang w:val="fr-BE"/>
        </w:rPr>
        <w:t>acteurs de changement</w:t>
      </w:r>
      <w:r w:rsidRPr="00C9388B">
        <w:rPr>
          <w:rFonts w:asciiTheme="majorHAnsi" w:hAnsiTheme="majorHAnsi" w:cstheme="majorHAnsi"/>
          <w:lang w:val="fr-BE"/>
        </w:rPr>
        <w:t xml:space="preserve"> capables d’exercer une influence dans leurs environnements sociaux, éducatifs, professionnels et politiques. Il est structuré autour de </w:t>
      </w:r>
      <w:r w:rsidRPr="00C9388B">
        <w:rPr>
          <w:rFonts w:asciiTheme="majorHAnsi" w:hAnsiTheme="majorHAnsi" w:cstheme="majorHAnsi"/>
          <w:b/>
          <w:bCs/>
          <w:lang w:val="fr-BE"/>
        </w:rPr>
        <w:t>trois outcomes complémentaires</w:t>
      </w:r>
      <w:r w:rsidRPr="00C9388B">
        <w:rPr>
          <w:rFonts w:asciiTheme="majorHAnsi" w:hAnsiTheme="majorHAnsi" w:cstheme="majorHAnsi"/>
          <w:lang w:val="fr-BE"/>
        </w:rPr>
        <w:t>, correspondant à trois publics cibles prioritaires :</w:t>
      </w:r>
    </w:p>
    <w:p w14:paraId="36D08C13" w14:textId="77777777" w:rsidR="00C9388B" w:rsidRPr="00C9388B" w:rsidRDefault="00C9388B" w:rsidP="00C9388B">
      <w:pPr>
        <w:numPr>
          <w:ilvl w:val="0"/>
          <w:numId w:val="17"/>
        </w:numPr>
        <w:spacing w:after="0"/>
        <w:rPr>
          <w:rFonts w:asciiTheme="majorHAnsi" w:hAnsiTheme="majorHAnsi" w:cstheme="majorHAnsi"/>
          <w:lang w:val="fr-BE"/>
        </w:rPr>
      </w:pPr>
      <w:proofErr w:type="gramStart"/>
      <w:r w:rsidRPr="00C9388B">
        <w:rPr>
          <w:rFonts w:asciiTheme="majorHAnsi" w:hAnsiTheme="majorHAnsi" w:cstheme="majorHAnsi"/>
          <w:lang w:val="fr-BE"/>
        </w:rPr>
        <w:t>les</w:t>
      </w:r>
      <w:proofErr w:type="gramEnd"/>
      <w:r w:rsidRPr="00C9388B">
        <w:rPr>
          <w:rFonts w:asciiTheme="majorHAnsi" w:hAnsiTheme="majorHAnsi" w:cstheme="majorHAnsi"/>
          <w:lang w:val="fr-BE"/>
        </w:rPr>
        <w:t xml:space="preserve"> acteurs et actrices du monde de l’enseignement ; </w:t>
      </w:r>
    </w:p>
    <w:p w14:paraId="799A7ACF" w14:textId="77777777" w:rsidR="00C9388B" w:rsidRPr="00C9388B" w:rsidRDefault="00C9388B" w:rsidP="00C9388B">
      <w:pPr>
        <w:numPr>
          <w:ilvl w:val="0"/>
          <w:numId w:val="17"/>
        </w:numPr>
        <w:spacing w:after="0"/>
        <w:rPr>
          <w:rFonts w:asciiTheme="majorHAnsi" w:hAnsiTheme="majorHAnsi" w:cstheme="majorHAnsi"/>
          <w:lang w:val="fr-BE"/>
        </w:rPr>
      </w:pPr>
      <w:proofErr w:type="gramStart"/>
      <w:r w:rsidRPr="00C9388B">
        <w:rPr>
          <w:rFonts w:asciiTheme="majorHAnsi" w:hAnsiTheme="majorHAnsi" w:cstheme="majorHAnsi"/>
          <w:lang w:val="fr-BE"/>
        </w:rPr>
        <w:t>les</w:t>
      </w:r>
      <w:proofErr w:type="gramEnd"/>
      <w:r w:rsidRPr="00C9388B">
        <w:rPr>
          <w:rFonts w:asciiTheme="majorHAnsi" w:hAnsiTheme="majorHAnsi" w:cstheme="majorHAnsi"/>
          <w:lang w:val="fr-BE"/>
        </w:rPr>
        <w:t xml:space="preserve"> citoyen·nes, les organisations de la société civile et les acteurs relais (publics de première et deuxième ligne) ; </w:t>
      </w:r>
    </w:p>
    <w:p w14:paraId="36664319" w14:textId="77777777" w:rsidR="00C9388B" w:rsidRDefault="00C9388B" w:rsidP="00C9388B">
      <w:pPr>
        <w:numPr>
          <w:ilvl w:val="0"/>
          <w:numId w:val="17"/>
        </w:numPr>
        <w:spacing w:after="0"/>
        <w:rPr>
          <w:rFonts w:asciiTheme="majorHAnsi" w:hAnsiTheme="majorHAnsi" w:cstheme="majorHAnsi"/>
          <w:lang w:val="fr-BE"/>
        </w:rPr>
      </w:pPr>
      <w:proofErr w:type="gramStart"/>
      <w:r w:rsidRPr="00C9388B">
        <w:rPr>
          <w:rFonts w:asciiTheme="majorHAnsi" w:hAnsiTheme="majorHAnsi" w:cstheme="majorHAnsi"/>
          <w:lang w:val="fr-BE"/>
        </w:rPr>
        <w:t>les</w:t>
      </w:r>
      <w:proofErr w:type="gramEnd"/>
      <w:r w:rsidRPr="00C9388B">
        <w:rPr>
          <w:rFonts w:asciiTheme="majorHAnsi" w:hAnsiTheme="majorHAnsi" w:cstheme="majorHAnsi"/>
          <w:lang w:val="fr-BE"/>
        </w:rPr>
        <w:t xml:space="preserve"> décideurs et décideuses politiques, à travers des actions de plaidoyer. </w:t>
      </w:r>
    </w:p>
    <w:p w14:paraId="09B9FD9C" w14:textId="77777777" w:rsidR="00C9388B" w:rsidRPr="00C9388B" w:rsidRDefault="00C9388B" w:rsidP="00C9388B">
      <w:pPr>
        <w:spacing w:after="0"/>
        <w:ind w:left="720"/>
        <w:rPr>
          <w:rFonts w:asciiTheme="majorHAnsi" w:hAnsiTheme="majorHAnsi" w:cstheme="majorHAnsi"/>
          <w:lang w:val="fr-BE"/>
        </w:rPr>
      </w:pPr>
    </w:p>
    <w:p w14:paraId="0C28DF24" w14:textId="77777777" w:rsidR="00C9388B" w:rsidRDefault="00C9388B" w:rsidP="00C9388B">
      <w:pPr>
        <w:spacing w:after="0"/>
        <w:rPr>
          <w:rFonts w:asciiTheme="majorHAnsi" w:hAnsiTheme="majorHAnsi" w:cstheme="majorHAnsi"/>
          <w:lang w:val="fr-BE"/>
        </w:rPr>
      </w:pPr>
      <w:r w:rsidRPr="00C9388B">
        <w:rPr>
          <w:rFonts w:asciiTheme="majorHAnsi" w:hAnsiTheme="majorHAnsi" w:cstheme="majorHAnsi"/>
          <w:lang w:val="fr-BE"/>
        </w:rPr>
        <w:t>Ces trois outcomes s’articulent au sein d’une stratégie intégrée combinant :</w:t>
      </w:r>
    </w:p>
    <w:p w14:paraId="0735D525" w14:textId="77777777" w:rsidR="00C9388B" w:rsidRPr="00C9388B" w:rsidRDefault="00C9388B" w:rsidP="00C9388B">
      <w:pPr>
        <w:spacing w:after="0"/>
        <w:rPr>
          <w:rFonts w:asciiTheme="majorHAnsi" w:hAnsiTheme="majorHAnsi" w:cstheme="majorHAnsi"/>
          <w:lang w:val="fr-BE"/>
        </w:rPr>
      </w:pPr>
    </w:p>
    <w:p w14:paraId="17051F61" w14:textId="77777777" w:rsidR="00C9388B" w:rsidRPr="00C9388B" w:rsidRDefault="00C9388B" w:rsidP="00C9388B">
      <w:pPr>
        <w:numPr>
          <w:ilvl w:val="0"/>
          <w:numId w:val="18"/>
        </w:numPr>
        <w:spacing w:after="0"/>
        <w:rPr>
          <w:rFonts w:asciiTheme="majorHAnsi" w:hAnsiTheme="majorHAnsi" w:cstheme="majorHAnsi"/>
          <w:lang w:val="fr-BE"/>
        </w:rPr>
      </w:pPr>
      <w:proofErr w:type="gramStart"/>
      <w:r w:rsidRPr="00C9388B">
        <w:rPr>
          <w:rFonts w:asciiTheme="majorHAnsi" w:hAnsiTheme="majorHAnsi" w:cstheme="majorHAnsi"/>
          <w:lang w:val="fr-BE"/>
        </w:rPr>
        <w:t>la</w:t>
      </w:r>
      <w:proofErr w:type="gramEnd"/>
      <w:r w:rsidRPr="00C9388B">
        <w:rPr>
          <w:rFonts w:asciiTheme="majorHAnsi" w:hAnsiTheme="majorHAnsi" w:cstheme="majorHAnsi"/>
          <w:lang w:val="fr-BE"/>
        </w:rPr>
        <w:t xml:space="preserve"> coordination et le renforcement des synergies entre organisations de la société civile ; </w:t>
      </w:r>
    </w:p>
    <w:p w14:paraId="3A9181AA" w14:textId="77777777" w:rsidR="00C9388B" w:rsidRPr="00C9388B" w:rsidRDefault="00C9388B" w:rsidP="00C9388B">
      <w:pPr>
        <w:numPr>
          <w:ilvl w:val="0"/>
          <w:numId w:val="18"/>
        </w:numPr>
        <w:spacing w:after="0"/>
        <w:rPr>
          <w:rFonts w:asciiTheme="majorHAnsi" w:hAnsiTheme="majorHAnsi" w:cstheme="majorHAnsi"/>
          <w:lang w:val="fr-BE"/>
        </w:rPr>
      </w:pPr>
      <w:proofErr w:type="gramStart"/>
      <w:r w:rsidRPr="00C9388B">
        <w:rPr>
          <w:rFonts w:asciiTheme="majorHAnsi" w:hAnsiTheme="majorHAnsi" w:cstheme="majorHAnsi"/>
          <w:lang w:val="fr-BE"/>
        </w:rPr>
        <w:t>le</w:t>
      </w:r>
      <w:proofErr w:type="gramEnd"/>
      <w:r w:rsidRPr="00C9388B">
        <w:rPr>
          <w:rFonts w:asciiTheme="majorHAnsi" w:hAnsiTheme="majorHAnsi" w:cstheme="majorHAnsi"/>
          <w:lang w:val="fr-BE"/>
        </w:rPr>
        <w:t xml:space="preserve"> développement et le partage de connaissances et d’expertises ; </w:t>
      </w:r>
    </w:p>
    <w:p w14:paraId="7B281DC9" w14:textId="77777777" w:rsidR="00C9388B" w:rsidRPr="00C9388B" w:rsidRDefault="00C9388B" w:rsidP="00C9388B">
      <w:pPr>
        <w:numPr>
          <w:ilvl w:val="0"/>
          <w:numId w:val="18"/>
        </w:numPr>
        <w:spacing w:after="0"/>
        <w:rPr>
          <w:rFonts w:asciiTheme="majorHAnsi" w:hAnsiTheme="majorHAnsi" w:cstheme="majorHAnsi"/>
          <w:lang w:val="fr-BE"/>
        </w:rPr>
      </w:pPr>
      <w:proofErr w:type="gramStart"/>
      <w:r w:rsidRPr="00C9388B">
        <w:rPr>
          <w:rFonts w:asciiTheme="majorHAnsi" w:hAnsiTheme="majorHAnsi" w:cstheme="majorHAnsi"/>
          <w:lang w:val="fr-BE"/>
        </w:rPr>
        <w:t>le</w:t>
      </w:r>
      <w:proofErr w:type="gramEnd"/>
      <w:r w:rsidRPr="00C9388B">
        <w:rPr>
          <w:rFonts w:asciiTheme="majorHAnsi" w:hAnsiTheme="majorHAnsi" w:cstheme="majorHAnsi"/>
          <w:lang w:val="fr-BE"/>
        </w:rPr>
        <w:t xml:space="preserve"> renforcement de capacités des acteurs relais ; </w:t>
      </w:r>
    </w:p>
    <w:p w14:paraId="4D0BAFB7" w14:textId="77777777" w:rsidR="00C9388B" w:rsidRDefault="00C9388B" w:rsidP="00C9388B">
      <w:pPr>
        <w:numPr>
          <w:ilvl w:val="0"/>
          <w:numId w:val="18"/>
        </w:numPr>
        <w:spacing w:after="0"/>
        <w:rPr>
          <w:rFonts w:asciiTheme="majorHAnsi" w:hAnsiTheme="majorHAnsi" w:cstheme="majorHAnsi"/>
          <w:lang w:val="fr-BE"/>
        </w:rPr>
      </w:pPr>
      <w:proofErr w:type="gramStart"/>
      <w:r w:rsidRPr="00C9388B">
        <w:rPr>
          <w:rFonts w:asciiTheme="majorHAnsi" w:hAnsiTheme="majorHAnsi" w:cstheme="majorHAnsi"/>
          <w:lang w:val="fr-BE"/>
        </w:rPr>
        <w:lastRenderedPageBreak/>
        <w:t>la</w:t>
      </w:r>
      <w:proofErr w:type="gramEnd"/>
      <w:r w:rsidRPr="00C9388B">
        <w:rPr>
          <w:rFonts w:asciiTheme="majorHAnsi" w:hAnsiTheme="majorHAnsi" w:cstheme="majorHAnsi"/>
          <w:lang w:val="fr-BE"/>
        </w:rPr>
        <w:t xml:space="preserve"> sensibilisation, la mobilisation citoyenne et le plaidoyer politique. </w:t>
      </w:r>
    </w:p>
    <w:p w14:paraId="799ADFC1" w14:textId="77777777" w:rsidR="00C9388B" w:rsidRPr="00C9388B" w:rsidRDefault="00C9388B" w:rsidP="00C9388B">
      <w:pPr>
        <w:spacing w:after="0"/>
        <w:ind w:left="720"/>
        <w:rPr>
          <w:rFonts w:asciiTheme="majorHAnsi" w:hAnsiTheme="majorHAnsi" w:cstheme="majorHAnsi"/>
          <w:lang w:val="fr-BE"/>
        </w:rPr>
      </w:pPr>
    </w:p>
    <w:p w14:paraId="5460D785"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L’ensemble des actions menées dans ce cadre vise à favoriser une meilleure compréhension des enjeux globaux liés aux ODD, à renforcer l’esprit critique et à encourager le passage à l’action des publics cibles. Une attention particulière est accordée à l’intégration transversale du genre, à la justice climatique et environnementale, ainsi qu’à la remise en question des rapports de pouvoir et des dynamiques Nord–Sud dans une perspective décoloniale.</w:t>
      </w:r>
    </w:p>
    <w:p w14:paraId="2238F391"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 xml:space="preserve">D’autre part, le programme comprend un </w:t>
      </w:r>
      <w:r w:rsidRPr="00C9388B">
        <w:rPr>
          <w:rFonts w:asciiTheme="majorHAnsi" w:hAnsiTheme="majorHAnsi" w:cstheme="majorHAnsi"/>
          <w:b/>
          <w:bCs/>
          <w:lang w:val="fr-BE"/>
        </w:rPr>
        <w:t>volet Sud</w:t>
      </w:r>
      <w:r w:rsidRPr="00C9388B">
        <w:rPr>
          <w:rFonts w:asciiTheme="majorHAnsi" w:hAnsiTheme="majorHAnsi" w:cstheme="majorHAnsi"/>
          <w:lang w:val="fr-BE"/>
        </w:rPr>
        <w:t>, mis en œuvre dans plusieurs pays partenaires, notamment en République démocratique du Congo (RDC), au Sénégal et en Guinée, à travers des partenariats avec des organisations de la société civile locale.</w:t>
      </w:r>
    </w:p>
    <w:p w14:paraId="7DE4CAE1"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Dans ce cadre, les organisations partenaires poursuivent des objectifs spécifiques liés notamment :</w:t>
      </w:r>
    </w:p>
    <w:p w14:paraId="4D480556" w14:textId="77777777" w:rsidR="00C9388B" w:rsidRPr="00C9388B" w:rsidRDefault="00C9388B" w:rsidP="00C9388B">
      <w:pPr>
        <w:numPr>
          <w:ilvl w:val="0"/>
          <w:numId w:val="19"/>
        </w:numPr>
        <w:spacing w:after="0"/>
        <w:rPr>
          <w:rFonts w:asciiTheme="majorHAnsi" w:hAnsiTheme="majorHAnsi" w:cstheme="majorHAnsi"/>
          <w:lang w:val="fr-BE"/>
        </w:rPr>
      </w:pPr>
      <w:proofErr w:type="gramStart"/>
      <w:r w:rsidRPr="00C9388B">
        <w:rPr>
          <w:rFonts w:asciiTheme="majorHAnsi" w:hAnsiTheme="majorHAnsi" w:cstheme="majorHAnsi"/>
          <w:lang w:val="fr-BE"/>
        </w:rPr>
        <w:t>au</w:t>
      </w:r>
      <w:proofErr w:type="gramEnd"/>
      <w:r w:rsidRPr="00C9388B">
        <w:rPr>
          <w:rFonts w:asciiTheme="majorHAnsi" w:hAnsiTheme="majorHAnsi" w:cstheme="majorHAnsi"/>
          <w:lang w:val="fr-BE"/>
        </w:rPr>
        <w:t xml:space="preserve"> renforcement des capacités des organisations de la société civile ; </w:t>
      </w:r>
    </w:p>
    <w:p w14:paraId="5F0187C9" w14:textId="77777777" w:rsidR="00C9388B" w:rsidRPr="00C9388B" w:rsidRDefault="00C9388B" w:rsidP="00C9388B">
      <w:pPr>
        <w:numPr>
          <w:ilvl w:val="0"/>
          <w:numId w:val="19"/>
        </w:numPr>
        <w:spacing w:after="0"/>
        <w:rPr>
          <w:rFonts w:asciiTheme="majorHAnsi" w:hAnsiTheme="majorHAnsi" w:cstheme="majorHAnsi"/>
          <w:lang w:val="fr-BE"/>
        </w:rPr>
      </w:pPr>
      <w:proofErr w:type="gramStart"/>
      <w:r w:rsidRPr="00C9388B">
        <w:rPr>
          <w:rFonts w:asciiTheme="majorHAnsi" w:hAnsiTheme="majorHAnsi" w:cstheme="majorHAnsi"/>
          <w:lang w:val="fr-BE"/>
        </w:rPr>
        <w:t>à</w:t>
      </w:r>
      <w:proofErr w:type="gramEnd"/>
      <w:r w:rsidRPr="00C9388B">
        <w:rPr>
          <w:rFonts w:asciiTheme="majorHAnsi" w:hAnsiTheme="majorHAnsi" w:cstheme="majorHAnsi"/>
          <w:lang w:val="fr-BE"/>
        </w:rPr>
        <w:t xml:space="preserve"> la promotion de l’égalité de genre et des droits des femmes ; </w:t>
      </w:r>
    </w:p>
    <w:p w14:paraId="58C3182A" w14:textId="77777777" w:rsidR="00C9388B" w:rsidRPr="00C9388B" w:rsidRDefault="00C9388B" w:rsidP="00C9388B">
      <w:pPr>
        <w:numPr>
          <w:ilvl w:val="0"/>
          <w:numId w:val="19"/>
        </w:numPr>
        <w:spacing w:after="0"/>
        <w:rPr>
          <w:rFonts w:asciiTheme="majorHAnsi" w:hAnsiTheme="majorHAnsi" w:cstheme="majorHAnsi"/>
          <w:lang w:val="fr-BE"/>
        </w:rPr>
      </w:pPr>
      <w:proofErr w:type="gramStart"/>
      <w:r w:rsidRPr="00C9388B">
        <w:rPr>
          <w:rFonts w:asciiTheme="majorHAnsi" w:hAnsiTheme="majorHAnsi" w:cstheme="majorHAnsi"/>
          <w:lang w:val="fr-BE"/>
        </w:rPr>
        <w:t>à</w:t>
      </w:r>
      <w:proofErr w:type="gramEnd"/>
      <w:r w:rsidRPr="00C9388B">
        <w:rPr>
          <w:rFonts w:asciiTheme="majorHAnsi" w:hAnsiTheme="majorHAnsi" w:cstheme="majorHAnsi"/>
          <w:lang w:val="fr-BE"/>
        </w:rPr>
        <w:t xml:space="preserve"> la gouvernance démocratique et à la participation citoyenne ; </w:t>
      </w:r>
    </w:p>
    <w:p w14:paraId="4F82DD8C" w14:textId="77777777" w:rsidR="00C9388B" w:rsidRPr="00C9388B" w:rsidRDefault="00C9388B" w:rsidP="00C9388B">
      <w:pPr>
        <w:numPr>
          <w:ilvl w:val="0"/>
          <w:numId w:val="19"/>
        </w:numPr>
        <w:spacing w:after="0"/>
        <w:rPr>
          <w:rFonts w:asciiTheme="majorHAnsi" w:hAnsiTheme="majorHAnsi" w:cstheme="majorHAnsi"/>
          <w:lang w:val="fr-BE"/>
        </w:rPr>
      </w:pPr>
      <w:proofErr w:type="gramStart"/>
      <w:r w:rsidRPr="00C9388B">
        <w:rPr>
          <w:rFonts w:asciiTheme="majorHAnsi" w:hAnsiTheme="majorHAnsi" w:cstheme="majorHAnsi"/>
          <w:lang w:val="fr-BE"/>
        </w:rPr>
        <w:t>à</w:t>
      </w:r>
      <w:proofErr w:type="gramEnd"/>
      <w:r w:rsidRPr="00C9388B">
        <w:rPr>
          <w:rFonts w:asciiTheme="majorHAnsi" w:hAnsiTheme="majorHAnsi" w:cstheme="majorHAnsi"/>
          <w:lang w:val="fr-BE"/>
        </w:rPr>
        <w:t xml:space="preserve"> la gestion durable des ressources naturelles ; </w:t>
      </w:r>
    </w:p>
    <w:p w14:paraId="6A7A18FA" w14:textId="77777777" w:rsidR="00C9388B" w:rsidRDefault="00C9388B" w:rsidP="00C9388B">
      <w:pPr>
        <w:numPr>
          <w:ilvl w:val="0"/>
          <w:numId w:val="19"/>
        </w:numPr>
        <w:spacing w:after="0"/>
        <w:rPr>
          <w:rFonts w:asciiTheme="majorHAnsi" w:hAnsiTheme="majorHAnsi" w:cstheme="majorHAnsi"/>
          <w:lang w:val="fr-BE"/>
        </w:rPr>
      </w:pPr>
      <w:proofErr w:type="gramStart"/>
      <w:r w:rsidRPr="00C9388B">
        <w:rPr>
          <w:rFonts w:asciiTheme="majorHAnsi" w:hAnsiTheme="majorHAnsi" w:cstheme="majorHAnsi"/>
          <w:lang w:val="fr-BE"/>
        </w:rPr>
        <w:t>à</w:t>
      </w:r>
      <w:proofErr w:type="gramEnd"/>
      <w:r w:rsidRPr="00C9388B">
        <w:rPr>
          <w:rFonts w:asciiTheme="majorHAnsi" w:hAnsiTheme="majorHAnsi" w:cstheme="majorHAnsi"/>
          <w:lang w:val="fr-BE"/>
        </w:rPr>
        <w:t xml:space="preserve"> l’agroécologie, à la résilience climatique et aux droits reproductifs et sexuels. </w:t>
      </w:r>
    </w:p>
    <w:p w14:paraId="4F3DBDB7" w14:textId="77777777" w:rsidR="00C9388B" w:rsidRPr="00C9388B" w:rsidRDefault="00C9388B" w:rsidP="00C9388B">
      <w:pPr>
        <w:spacing w:after="0"/>
        <w:ind w:left="720"/>
        <w:rPr>
          <w:rFonts w:asciiTheme="majorHAnsi" w:hAnsiTheme="majorHAnsi" w:cstheme="majorHAnsi"/>
          <w:lang w:val="fr-BE"/>
        </w:rPr>
      </w:pPr>
    </w:p>
    <w:p w14:paraId="691D15D8"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Ces interventions visent à soutenir des dynamiques locales de changement, à renforcer les capacités d’analyse et d’action des acteurs locaux et à favoriser leur influence sur les politiques publiques.</w:t>
      </w:r>
    </w:p>
    <w:p w14:paraId="1BDBF64F"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Le programme repose sur une articulation forte entre les volets Nord et Sud, à travers des dynamiques d’échanges croisés Nord–Sud et Sud–Sud, la mise en évidence de l’interdépendance des enjeux globaux et la valorisation des savoirs et expertises issus des contextes du Sud. Ces interactions nourrissent les actions d’ECMS en Belgique, notamment en renforçant la qualité des contenus, des analyses et des stratégies de sensibilisation et de plaidoyer.</w:t>
      </w:r>
    </w:p>
    <w:p w14:paraId="6084EB52"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Enfin, le programme s’appuie sur une gouvernance commune entre les organisations partenaires, visant à renforcer les synergies, la complémentarité des interventions et la cohérence globale des stratégies mises en œuvre.</w:t>
      </w:r>
    </w:p>
    <w:p w14:paraId="66449296" w14:textId="77777777" w:rsidR="00C9388B" w:rsidRPr="00C9388B" w:rsidRDefault="00C9388B" w:rsidP="00C9388B">
      <w:pPr>
        <w:rPr>
          <w:rFonts w:asciiTheme="majorHAnsi" w:hAnsiTheme="majorHAnsi" w:cstheme="majorHAnsi"/>
          <w:lang w:val="fr-BE"/>
        </w:rPr>
      </w:pPr>
      <w:r w:rsidRPr="00C9388B">
        <w:rPr>
          <w:rFonts w:asciiTheme="majorHAnsi" w:hAnsiTheme="majorHAnsi" w:cstheme="majorHAnsi"/>
          <w:lang w:val="fr-BE"/>
        </w:rPr>
        <w:t>Dans ce cadre, la présente offre vise à réaliser l’évaluation externe finale de ce programme commun.</w:t>
      </w:r>
    </w:p>
    <w:p w14:paraId="72344F63" w14:textId="342FE769" w:rsidR="009618FB" w:rsidRPr="007A07BA" w:rsidRDefault="009618FB" w:rsidP="669D0DD5">
      <w:pPr>
        <w:rPr>
          <w:rFonts w:asciiTheme="majorHAnsi" w:hAnsiTheme="majorHAnsi" w:cstheme="majorBidi"/>
          <w:b/>
          <w:bCs/>
          <w:lang w:val="fr-BE"/>
        </w:rPr>
      </w:pPr>
    </w:p>
    <w:p w14:paraId="09AC1EF3" w14:textId="6D2D6471" w:rsidR="009618FB" w:rsidRPr="00DA232D" w:rsidRDefault="00CF0CE3">
      <w:pPr>
        <w:rPr>
          <w:lang w:val="fr-BE"/>
        </w:rPr>
      </w:pPr>
      <w:r w:rsidRPr="00DA232D">
        <w:rPr>
          <w:lang w:val="fr-BE"/>
        </w:rPr>
        <w:br w:type="page"/>
      </w:r>
    </w:p>
    <w:p w14:paraId="5720DC4E" w14:textId="648D892A" w:rsidR="009618FB" w:rsidRPr="007A07BA" w:rsidRDefault="669D0DD5" w:rsidP="669D0DD5">
      <w:pPr>
        <w:rPr>
          <w:rFonts w:asciiTheme="majorHAnsi" w:hAnsiTheme="majorHAnsi" w:cstheme="majorBidi"/>
          <w:b/>
          <w:bCs/>
          <w:lang w:val="fr-BE"/>
        </w:rPr>
      </w:pPr>
      <w:r w:rsidRPr="669D0DD5">
        <w:rPr>
          <w:rFonts w:asciiTheme="majorHAnsi" w:hAnsiTheme="majorHAnsi" w:cstheme="majorBidi"/>
          <w:b/>
          <w:bCs/>
          <w:lang w:val="fr-BE"/>
        </w:rPr>
        <w:lastRenderedPageBreak/>
        <w:t>2. Objectifs de l’évaluation</w:t>
      </w:r>
    </w:p>
    <w:p w14:paraId="22B07BDF" w14:textId="3A7369AD" w:rsidR="009618FB" w:rsidRPr="007A07BA" w:rsidRDefault="00CF0CE3">
      <w:pPr>
        <w:rPr>
          <w:rFonts w:asciiTheme="majorHAnsi" w:hAnsiTheme="majorHAnsi" w:cstheme="majorHAnsi"/>
          <w:lang w:val="fr-BE"/>
        </w:rPr>
      </w:pPr>
      <w:r w:rsidRPr="007A07BA">
        <w:rPr>
          <w:rFonts w:asciiTheme="majorHAnsi" w:hAnsiTheme="majorHAnsi" w:cstheme="majorHAnsi"/>
          <w:lang w:val="fr-BE"/>
        </w:rPr>
        <w:t>L’évaluation a pour objectif</w:t>
      </w:r>
      <w:r w:rsidR="00C9388B">
        <w:rPr>
          <w:rFonts w:asciiTheme="majorHAnsi" w:hAnsiTheme="majorHAnsi" w:cstheme="majorHAnsi"/>
          <w:lang w:val="fr-BE"/>
        </w:rPr>
        <w:t>s</w:t>
      </w:r>
      <w:r w:rsidRPr="007A07BA">
        <w:rPr>
          <w:rFonts w:asciiTheme="majorHAnsi" w:hAnsiTheme="majorHAnsi" w:cstheme="majorHAnsi"/>
          <w:lang w:val="fr-BE"/>
        </w:rPr>
        <w:t xml:space="preserve"> principa</w:t>
      </w:r>
      <w:r w:rsidR="00C9388B">
        <w:rPr>
          <w:rFonts w:asciiTheme="majorHAnsi" w:hAnsiTheme="majorHAnsi" w:cstheme="majorHAnsi"/>
          <w:lang w:val="fr-BE"/>
        </w:rPr>
        <w:t>ux</w:t>
      </w:r>
      <w:r w:rsidRPr="007A07BA">
        <w:rPr>
          <w:rFonts w:asciiTheme="majorHAnsi" w:hAnsiTheme="majorHAnsi" w:cstheme="majorHAnsi"/>
          <w:lang w:val="fr-BE"/>
        </w:rPr>
        <w:t xml:space="preserve"> de :</w:t>
      </w:r>
    </w:p>
    <w:p w14:paraId="79C0BFE5" w14:textId="77777777" w:rsidR="00B167CA" w:rsidRDefault="00B167CA" w:rsidP="00B167CA">
      <w:pPr>
        <w:pStyle w:val="Paragraphedeliste"/>
        <w:numPr>
          <w:ilvl w:val="0"/>
          <w:numId w:val="21"/>
        </w:numPr>
        <w:rPr>
          <w:rFonts w:asciiTheme="majorHAnsi" w:hAnsiTheme="majorHAnsi" w:cstheme="majorHAnsi"/>
          <w:lang w:val="fr-BE"/>
        </w:rPr>
      </w:pPr>
      <w:r w:rsidRPr="00B167CA">
        <w:rPr>
          <w:rFonts w:asciiTheme="majorHAnsi" w:hAnsiTheme="majorHAnsi" w:cstheme="majorHAnsi"/>
          <w:lang w:val="fr-BE"/>
        </w:rPr>
        <w:t xml:space="preserve">Apprécier la cohérence du programme, notamment l’articulation Nord–Sud ainsi que les synergies et complémentarités entre partenaires ; </w:t>
      </w:r>
    </w:p>
    <w:p w14:paraId="7E68A461" w14:textId="77777777" w:rsidR="00B167CA" w:rsidRDefault="00B167CA" w:rsidP="00B167CA">
      <w:pPr>
        <w:pStyle w:val="Paragraphedeliste"/>
        <w:numPr>
          <w:ilvl w:val="0"/>
          <w:numId w:val="21"/>
        </w:numPr>
        <w:rPr>
          <w:rFonts w:asciiTheme="majorHAnsi" w:hAnsiTheme="majorHAnsi" w:cstheme="majorHAnsi"/>
          <w:lang w:val="fr-BE"/>
        </w:rPr>
      </w:pPr>
      <w:r w:rsidRPr="00B167CA">
        <w:rPr>
          <w:rFonts w:asciiTheme="majorHAnsi" w:hAnsiTheme="majorHAnsi" w:cstheme="majorHAnsi"/>
          <w:lang w:val="fr-BE"/>
        </w:rPr>
        <w:t xml:space="preserve">Évaluer l’efficacité du programme, en mesurant le degré d’atteinte des outcomes ; </w:t>
      </w:r>
    </w:p>
    <w:p w14:paraId="4AE8E827" w14:textId="77777777" w:rsidR="00B167CA" w:rsidRDefault="00B167CA" w:rsidP="00B167CA">
      <w:pPr>
        <w:pStyle w:val="Paragraphedeliste"/>
        <w:numPr>
          <w:ilvl w:val="0"/>
          <w:numId w:val="21"/>
        </w:numPr>
        <w:rPr>
          <w:rFonts w:asciiTheme="majorHAnsi" w:hAnsiTheme="majorHAnsi" w:cstheme="majorHAnsi"/>
          <w:lang w:val="fr-BE"/>
        </w:rPr>
      </w:pPr>
      <w:r w:rsidRPr="00B167CA">
        <w:rPr>
          <w:rFonts w:asciiTheme="majorHAnsi" w:hAnsiTheme="majorHAnsi" w:cstheme="majorHAnsi"/>
          <w:lang w:val="fr-BE"/>
        </w:rPr>
        <w:t xml:space="preserve">Identifier les bonnes pratiques, limites et leçons apprises ; </w:t>
      </w:r>
    </w:p>
    <w:p w14:paraId="009E1691" w14:textId="285E7630" w:rsidR="00B167CA" w:rsidRPr="00B167CA" w:rsidRDefault="00B167CA" w:rsidP="00B167CA">
      <w:pPr>
        <w:pStyle w:val="Paragraphedeliste"/>
        <w:numPr>
          <w:ilvl w:val="0"/>
          <w:numId w:val="21"/>
        </w:numPr>
        <w:rPr>
          <w:rFonts w:asciiTheme="majorHAnsi" w:hAnsiTheme="majorHAnsi" w:cstheme="majorHAnsi"/>
          <w:lang w:val="fr-BE"/>
        </w:rPr>
      </w:pPr>
      <w:r w:rsidRPr="00B167CA">
        <w:rPr>
          <w:rFonts w:asciiTheme="majorHAnsi" w:hAnsiTheme="majorHAnsi" w:cstheme="majorHAnsi"/>
          <w:lang w:val="fr-BE"/>
        </w:rPr>
        <w:t>Formuler des recommandations opérationnelles pour les futurs programmes.</w:t>
      </w:r>
    </w:p>
    <w:p w14:paraId="3B0ED7FF" w14:textId="5AA744CF" w:rsidR="009618FB" w:rsidRPr="007A07BA" w:rsidRDefault="00CF0CE3">
      <w:pPr>
        <w:rPr>
          <w:rFonts w:asciiTheme="majorHAnsi" w:hAnsiTheme="majorHAnsi" w:cstheme="majorHAnsi"/>
          <w:b/>
          <w:bCs/>
          <w:lang w:val="fr-BE"/>
        </w:rPr>
      </w:pPr>
      <w:r w:rsidRPr="007A07BA">
        <w:rPr>
          <w:rFonts w:asciiTheme="majorHAnsi" w:hAnsiTheme="majorHAnsi" w:cstheme="majorHAnsi"/>
          <w:b/>
          <w:bCs/>
          <w:lang w:val="fr-BE"/>
        </w:rPr>
        <w:t>3. Objet et portée de l’évaluation</w:t>
      </w:r>
    </w:p>
    <w:p w14:paraId="79CA77AB" w14:textId="77777777" w:rsidR="00B167CA" w:rsidRPr="00B167CA" w:rsidRDefault="00B167CA" w:rsidP="00B167CA">
      <w:pPr>
        <w:rPr>
          <w:rFonts w:asciiTheme="majorHAnsi" w:hAnsiTheme="majorHAnsi" w:cstheme="majorHAnsi"/>
          <w:lang w:val="fr-BE"/>
        </w:rPr>
      </w:pPr>
      <w:r w:rsidRPr="00B167CA">
        <w:rPr>
          <w:rFonts w:asciiTheme="majorHAnsi" w:hAnsiTheme="majorHAnsi" w:cstheme="majorHAnsi"/>
          <w:lang w:val="fr-BE"/>
        </w:rPr>
        <w:t>L’évaluation portera sur l’ensemble du programme 2022–2026, avec un focus sur :</w:t>
      </w:r>
    </w:p>
    <w:p w14:paraId="78C961B1" w14:textId="77777777" w:rsidR="00B167CA" w:rsidRDefault="00B167CA" w:rsidP="00B167CA">
      <w:pPr>
        <w:pStyle w:val="Paragraphedeliste"/>
        <w:numPr>
          <w:ilvl w:val="0"/>
          <w:numId w:val="22"/>
        </w:numPr>
        <w:rPr>
          <w:rFonts w:asciiTheme="majorHAnsi" w:hAnsiTheme="majorHAnsi" w:cstheme="majorHAnsi"/>
          <w:lang w:val="fr-BE"/>
        </w:rPr>
      </w:pPr>
      <w:proofErr w:type="gramStart"/>
      <w:r w:rsidRPr="00B167CA">
        <w:rPr>
          <w:rFonts w:asciiTheme="majorHAnsi" w:hAnsiTheme="majorHAnsi" w:cstheme="majorHAnsi"/>
          <w:lang w:val="fr-BE"/>
        </w:rPr>
        <w:t>les</w:t>
      </w:r>
      <w:proofErr w:type="gramEnd"/>
      <w:r w:rsidRPr="00B167CA">
        <w:rPr>
          <w:rFonts w:asciiTheme="majorHAnsi" w:hAnsiTheme="majorHAnsi" w:cstheme="majorHAnsi"/>
          <w:lang w:val="fr-BE"/>
        </w:rPr>
        <w:t xml:space="preserve"> trois objectifs spécifiques (OS) en Belgique ; </w:t>
      </w:r>
    </w:p>
    <w:p w14:paraId="43B20325" w14:textId="77777777" w:rsidR="00B167CA" w:rsidRDefault="00B167CA" w:rsidP="00B167CA">
      <w:pPr>
        <w:pStyle w:val="Paragraphedeliste"/>
        <w:numPr>
          <w:ilvl w:val="0"/>
          <w:numId w:val="22"/>
        </w:numPr>
        <w:rPr>
          <w:rFonts w:asciiTheme="majorHAnsi" w:hAnsiTheme="majorHAnsi" w:cstheme="majorHAnsi"/>
          <w:lang w:val="fr-BE"/>
        </w:rPr>
      </w:pPr>
      <w:proofErr w:type="gramStart"/>
      <w:r w:rsidRPr="00B167CA">
        <w:rPr>
          <w:rFonts w:asciiTheme="majorHAnsi" w:hAnsiTheme="majorHAnsi" w:cstheme="majorHAnsi"/>
          <w:lang w:val="fr-BE"/>
        </w:rPr>
        <w:t>les</w:t>
      </w:r>
      <w:proofErr w:type="gramEnd"/>
      <w:r w:rsidRPr="00B167CA">
        <w:rPr>
          <w:rFonts w:asciiTheme="majorHAnsi" w:hAnsiTheme="majorHAnsi" w:cstheme="majorHAnsi"/>
          <w:lang w:val="fr-BE"/>
        </w:rPr>
        <w:t xml:space="preserve"> objectifs spécifiques dans les pays partenaires ; </w:t>
      </w:r>
    </w:p>
    <w:p w14:paraId="26BD0F73" w14:textId="3F629319" w:rsidR="00B167CA" w:rsidRPr="00B167CA" w:rsidRDefault="00B167CA" w:rsidP="00B167CA">
      <w:pPr>
        <w:pStyle w:val="Paragraphedeliste"/>
        <w:numPr>
          <w:ilvl w:val="0"/>
          <w:numId w:val="22"/>
        </w:numPr>
        <w:rPr>
          <w:rFonts w:asciiTheme="majorHAnsi" w:hAnsiTheme="majorHAnsi" w:cstheme="majorHAnsi"/>
          <w:lang w:val="fr-BE"/>
        </w:rPr>
      </w:pPr>
      <w:proofErr w:type="gramStart"/>
      <w:r w:rsidRPr="00B167CA">
        <w:rPr>
          <w:rFonts w:asciiTheme="majorHAnsi" w:hAnsiTheme="majorHAnsi" w:cstheme="majorHAnsi"/>
          <w:lang w:val="fr-BE"/>
        </w:rPr>
        <w:t>les</w:t>
      </w:r>
      <w:proofErr w:type="gramEnd"/>
      <w:r w:rsidRPr="00B167CA">
        <w:rPr>
          <w:rFonts w:asciiTheme="majorHAnsi" w:hAnsiTheme="majorHAnsi" w:cstheme="majorHAnsi"/>
          <w:lang w:val="fr-BE"/>
        </w:rPr>
        <w:t xml:space="preserve"> dynamiques de partenariat et d’articulation Nord–Sud. </w:t>
      </w:r>
    </w:p>
    <w:p w14:paraId="3E067D3A" w14:textId="77777777" w:rsidR="00B167CA" w:rsidRPr="00B167CA" w:rsidRDefault="00B167CA" w:rsidP="00B167CA">
      <w:pPr>
        <w:rPr>
          <w:rFonts w:asciiTheme="majorHAnsi" w:hAnsiTheme="majorHAnsi" w:cstheme="majorHAnsi"/>
          <w:lang w:val="fr-BE"/>
        </w:rPr>
      </w:pPr>
      <w:r w:rsidRPr="00B167CA">
        <w:rPr>
          <w:rFonts w:asciiTheme="majorHAnsi" w:hAnsiTheme="majorHAnsi" w:cstheme="majorHAnsi"/>
          <w:lang w:val="fr-BE"/>
        </w:rPr>
        <w:t>Critères d’évaluation :</w:t>
      </w:r>
    </w:p>
    <w:p w14:paraId="2912A74E" w14:textId="77777777" w:rsidR="00B167CA" w:rsidRDefault="00B167CA" w:rsidP="00B167CA">
      <w:pPr>
        <w:pStyle w:val="Paragraphedeliste"/>
        <w:numPr>
          <w:ilvl w:val="0"/>
          <w:numId w:val="23"/>
        </w:numPr>
        <w:rPr>
          <w:rFonts w:asciiTheme="majorHAnsi" w:hAnsiTheme="majorHAnsi" w:cstheme="majorHAnsi"/>
          <w:lang w:val="fr-BE"/>
        </w:rPr>
      </w:pPr>
      <w:r w:rsidRPr="00B167CA">
        <w:rPr>
          <w:rFonts w:asciiTheme="majorHAnsi" w:hAnsiTheme="majorHAnsi" w:cstheme="majorHAnsi"/>
          <w:lang w:val="fr-BE"/>
        </w:rPr>
        <w:t xml:space="preserve">Cohérence : analyse de la cohérence interne et externe, incluant : </w:t>
      </w:r>
    </w:p>
    <w:p w14:paraId="22E94408" w14:textId="77777777" w:rsidR="00B167CA" w:rsidRDefault="00B167CA" w:rsidP="00B167CA">
      <w:pPr>
        <w:pStyle w:val="Paragraphedeliste"/>
        <w:numPr>
          <w:ilvl w:val="1"/>
          <w:numId w:val="23"/>
        </w:numPr>
        <w:rPr>
          <w:rFonts w:asciiTheme="majorHAnsi" w:hAnsiTheme="majorHAnsi" w:cstheme="majorHAnsi"/>
          <w:lang w:val="fr-BE"/>
        </w:rPr>
      </w:pPr>
      <w:proofErr w:type="gramStart"/>
      <w:r w:rsidRPr="00B167CA">
        <w:rPr>
          <w:rFonts w:asciiTheme="majorHAnsi" w:hAnsiTheme="majorHAnsi" w:cstheme="majorHAnsi"/>
          <w:lang w:val="fr-BE"/>
        </w:rPr>
        <w:t>articulation</w:t>
      </w:r>
      <w:proofErr w:type="gramEnd"/>
      <w:r w:rsidRPr="00B167CA">
        <w:rPr>
          <w:rFonts w:asciiTheme="majorHAnsi" w:hAnsiTheme="majorHAnsi" w:cstheme="majorHAnsi"/>
          <w:lang w:val="fr-BE"/>
        </w:rPr>
        <w:t xml:space="preserve"> Nord–Sud </w:t>
      </w:r>
    </w:p>
    <w:p w14:paraId="33F3B7DE" w14:textId="5D18FE86" w:rsidR="00B167CA" w:rsidRDefault="00B167CA" w:rsidP="00B167CA">
      <w:pPr>
        <w:pStyle w:val="Paragraphedeliste"/>
        <w:numPr>
          <w:ilvl w:val="1"/>
          <w:numId w:val="23"/>
        </w:numPr>
        <w:rPr>
          <w:rFonts w:asciiTheme="majorHAnsi" w:hAnsiTheme="majorHAnsi" w:cstheme="majorHAnsi"/>
          <w:lang w:val="fr-BE"/>
        </w:rPr>
      </w:pPr>
      <w:proofErr w:type="gramStart"/>
      <w:r w:rsidRPr="00B167CA">
        <w:rPr>
          <w:rFonts w:asciiTheme="majorHAnsi" w:hAnsiTheme="majorHAnsi" w:cstheme="majorHAnsi"/>
          <w:lang w:val="fr-BE"/>
        </w:rPr>
        <w:t>synergies</w:t>
      </w:r>
      <w:proofErr w:type="gramEnd"/>
      <w:r w:rsidRPr="00B167CA">
        <w:rPr>
          <w:rFonts w:asciiTheme="majorHAnsi" w:hAnsiTheme="majorHAnsi" w:cstheme="majorHAnsi"/>
          <w:lang w:val="fr-BE"/>
        </w:rPr>
        <w:t xml:space="preserve"> et complémentarités entre partenaires </w:t>
      </w:r>
    </w:p>
    <w:p w14:paraId="67464B2F" w14:textId="1BEC8E98" w:rsidR="005F7384" w:rsidRPr="00B167CA" w:rsidRDefault="005F7384" w:rsidP="00B167CA">
      <w:pPr>
        <w:pStyle w:val="Paragraphedeliste"/>
        <w:numPr>
          <w:ilvl w:val="1"/>
          <w:numId w:val="23"/>
        </w:numPr>
        <w:rPr>
          <w:rFonts w:asciiTheme="majorHAnsi" w:hAnsiTheme="majorHAnsi" w:cstheme="majorHAnsi"/>
          <w:lang w:val="fr-BE"/>
        </w:rPr>
      </w:pPr>
      <w:proofErr w:type="gramStart"/>
      <w:r>
        <w:rPr>
          <w:rFonts w:asciiTheme="majorHAnsi" w:hAnsiTheme="majorHAnsi" w:cstheme="majorHAnsi"/>
          <w:lang w:val="fr-BE"/>
        </w:rPr>
        <w:t>contribution</w:t>
      </w:r>
      <w:proofErr w:type="gramEnd"/>
      <w:r>
        <w:rPr>
          <w:rFonts w:asciiTheme="majorHAnsi" w:hAnsiTheme="majorHAnsi" w:cstheme="majorHAnsi"/>
          <w:lang w:val="fr-BE"/>
        </w:rPr>
        <w:t xml:space="preserve"> aux cibles des Cadres stratégiques communs en Belgique, RDC, Sénégal et Guinée </w:t>
      </w:r>
    </w:p>
    <w:p w14:paraId="27E1899B" w14:textId="77777777" w:rsidR="00B167CA" w:rsidRPr="00B167CA" w:rsidRDefault="00B167CA" w:rsidP="00B167CA">
      <w:pPr>
        <w:pStyle w:val="Paragraphedeliste"/>
        <w:numPr>
          <w:ilvl w:val="0"/>
          <w:numId w:val="23"/>
        </w:numPr>
        <w:rPr>
          <w:rFonts w:asciiTheme="majorHAnsi" w:hAnsiTheme="majorHAnsi" w:cstheme="majorHAnsi"/>
          <w:lang w:val="fr-BE"/>
        </w:rPr>
      </w:pPr>
      <w:r w:rsidRPr="00B167CA">
        <w:rPr>
          <w:rFonts w:asciiTheme="majorHAnsi" w:hAnsiTheme="majorHAnsi" w:cstheme="majorHAnsi"/>
          <w:lang w:val="fr-BE"/>
        </w:rPr>
        <w:t xml:space="preserve">Efficacité : mesure du degré d’atteinte des outcomes du programme </w:t>
      </w:r>
    </w:p>
    <w:p w14:paraId="761C353C" w14:textId="6BEC9055" w:rsidR="009618FB" w:rsidRPr="007A07BA" w:rsidRDefault="00CF0CE3">
      <w:pPr>
        <w:rPr>
          <w:rFonts w:asciiTheme="majorHAnsi" w:hAnsiTheme="majorHAnsi" w:cstheme="majorHAnsi"/>
          <w:lang w:val="fr-BE"/>
        </w:rPr>
      </w:pPr>
      <w:r w:rsidRPr="007A07BA">
        <w:rPr>
          <w:rFonts w:asciiTheme="majorHAnsi" w:hAnsiTheme="majorHAnsi" w:cstheme="majorHAnsi"/>
          <w:b/>
          <w:bCs/>
          <w:lang w:val="fr-BE"/>
        </w:rPr>
        <w:t>4.</w:t>
      </w:r>
      <w:r w:rsidR="00C9388B">
        <w:rPr>
          <w:rFonts w:asciiTheme="majorHAnsi" w:hAnsiTheme="majorHAnsi" w:cstheme="majorHAnsi"/>
          <w:lang w:val="fr-BE"/>
        </w:rPr>
        <w:t xml:space="preserve"> </w:t>
      </w:r>
      <w:r w:rsidRPr="00C9388B">
        <w:rPr>
          <w:rFonts w:asciiTheme="majorHAnsi" w:hAnsiTheme="majorHAnsi" w:cstheme="majorHAnsi"/>
          <w:b/>
          <w:bCs/>
          <w:lang w:val="fr-BE"/>
        </w:rPr>
        <w:t>Méthodologie</w:t>
      </w:r>
    </w:p>
    <w:p w14:paraId="11633224" w14:textId="564EBE1D" w:rsidR="00C9388B" w:rsidRPr="00C9388B" w:rsidRDefault="00C9388B" w:rsidP="00C9388B">
      <w:pPr>
        <w:pStyle w:val="Corpsdetexte"/>
        <w:rPr>
          <w:rFonts w:ascii="Calibri" w:hAnsi="Calibri"/>
          <w:lang w:val="fr-BE"/>
        </w:rPr>
      </w:pPr>
      <w:r w:rsidRPr="00C9388B">
        <w:rPr>
          <w:rFonts w:ascii="Calibri" w:hAnsi="Calibri"/>
          <w:lang w:val="fr-BE"/>
        </w:rPr>
        <w:t>L’évaluation devrait comporter</w:t>
      </w:r>
      <w:r w:rsidR="00B167CA">
        <w:rPr>
          <w:rFonts w:ascii="Calibri" w:hAnsi="Calibri"/>
          <w:lang w:val="fr-BE"/>
        </w:rPr>
        <w:t xml:space="preserve"> une revue documentaire,</w:t>
      </w:r>
      <w:r w:rsidRPr="00C9388B">
        <w:rPr>
          <w:rFonts w:ascii="Calibri" w:hAnsi="Calibri"/>
          <w:lang w:val="fr-BE"/>
        </w:rPr>
        <w:t xml:space="preserve"> un volet quantitatif et un volet qualitatif. </w:t>
      </w:r>
    </w:p>
    <w:p w14:paraId="52DA1EB2" w14:textId="1CCFE38E" w:rsidR="00C9388B" w:rsidRPr="00C9388B" w:rsidRDefault="00C9388B" w:rsidP="00C9388B">
      <w:pPr>
        <w:pStyle w:val="Corpsdetexte"/>
        <w:rPr>
          <w:rFonts w:ascii="Calibri" w:hAnsi="Calibri"/>
          <w:lang w:val="fr-BE"/>
        </w:rPr>
      </w:pPr>
      <w:r w:rsidRPr="00C9388B">
        <w:rPr>
          <w:rFonts w:ascii="Calibri" w:hAnsi="Calibri"/>
          <w:lang w:val="fr-BE"/>
        </w:rPr>
        <w:t>Le volet quantitatif devrait permettre d’objectiver les données concernant l’atteinte des résultats visés dans le cadre de la gestion axée sur les résultats (GAR) du programme commun.</w:t>
      </w:r>
    </w:p>
    <w:p w14:paraId="4D40489D" w14:textId="25E80620" w:rsidR="00C9388B" w:rsidRPr="00C9388B" w:rsidRDefault="00C9388B" w:rsidP="00C9388B">
      <w:pPr>
        <w:pStyle w:val="Corpsdetexte"/>
        <w:rPr>
          <w:rFonts w:ascii="Calibri" w:hAnsi="Calibri"/>
          <w:lang w:val="fr-BE"/>
        </w:rPr>
      </w:pPr>
      <w:r w:rsidRPr="00C9388B">
        <w:rPr>
          <w:rFonts w:ascii="Calibri" w:hAnsi="Calibri"/>
          <w:lang w:val="fr-BE"/>
        </w:rPr>
        <w:t xml:space="preserve">Le volet qualitatif devrait quant à lui permettre d’interpréter les données quantitatives par des entretiens avec les représentants des </w:t>
      </w:r>
      <w:r w:rsidR="00B167CA">
        <w:rPr>
          <w:rFonts w:ascii="Calibri" w:hAnsi="Calibri"/>
          <w:lang w:val="fr-BE"/>
        </w:rPr>
        <w:t xml:space="preserve">parties prenantes et de leurs </w:t>
      </w:r>
      <w:r w:rsidRPr="00C9388B">
        <w:rPr>
          <w:rFonts w:ascii="Calibri" w:hAnsi="Calibri"/>
          <w:lang w:val="fr-BE"/>
        </w:rPr>
        <w:t>ONG partenaires</w:t>
      </w:r>
      <w:r w:rsidR="00B167CA">
        <w:rPr>
          <w:rFonts w:ascii="Calibri" w:hAnsi="Calibri"/>
          <w:lang w:val="fr-BE"/>
        </w:rPr>
        <w:t xml:space="preserve">, ainsi qu’un éventuel </w:t>
      </w:r>
      <w:r w:rsidRPr="00C9388B">
        <w:rPr>
          <w:rFonts w:ascii="Calibri" w:hAnsi="Calibri"/>
          <w:lang w:val="fr-BE"/>
        </w:rPr>
        <w:t>échantillon des publics cibles (triangulation).</w:t>
      </w:r>
    </w:p>
    <w:p w14:paraId="327C6897" w14:textId="35C4DBF2" w:rsidR="00C9388B" w:rsidRPr="00C9388B" w:rsidRDefault="00C9388B" w:rsidP="00C9388B">
      <w:pPr>
        <w:pStyle w:val="Corpsdetexte"/>
        <w:rPr>
          <w:rFonts w:ascii="Calibri" w:hAnsi="Calibri"/>
          <w:lang w:val="fr-BE"/>
        </w:rPr>
      </w:pPr>
      <w:r w:rsidRPr="00C9388B">
        <w:rPr>
          <w:rFonts w:ascii="Calibri" w:hAnsi="Calibri"/>
          <w:lang w:val="fr-BE"/>
        </w:rPr>
        <w:t xml:space="preserve">Quand cela est pertinent, les résultats de cette évaluation pourront être comparés aux évaluations à mi-parcours réalisées par les </w:t>
      </w:r>
      <w:r w:rsidR="005F7384">
        <w:rPr>
          <w:rFonts w:ascii="Calibri" w:hAnsi="Calibri"/>
          <w:lang w:val="fr-BE"/>
        </w:rPr>
        <w:t>quatre</w:t>
      </w:r>
      <w:r w:rsidR="005F7384" w:rsidRPr="00C9388B">
        <w:rPr>
          <w:rFonts w:ascii="Calibri" w:hAnsi="Calibri"/>
          <w:lang w:val="fr-BE"/>
        </w:rPr>
        <w:t xml:space="preserve"> </w:t>
      </w:r>
      <w:r w:rsidRPr="00C9388B">
        <w:rPr>
          <w:rFonts w:ascii="Calibri" w:hAnsi="Calibri"/>
          <w:lang w:val="fr-BE"/>
        </w:rPr>
        <w:t>ONG partenaires.</w:t>
      </w:r>
    </w:p>
    <w:p w14:paraId="7634BCCD" w14:textId="41E6FD20" w:rsidR="009618FB" w:rsidRPr="00C9388B" w:rsidRDefault="1891CBCE" w:rsidP="1891CBCE">
      <w:pPr>
        <w:pStyle w:val="Corpsdetexte"/>
        <w:rPr>
          <w:rFonts w:ascii="Calibri" w:hAnsi="Calibri" w:cs="Calibri"/>
          <w:lang w:val="fr-BE"/>
        </w:rPr>
      </w:pPr>
      <w:r w:rsidRPr="1891CBCE">
        <w:rPr>
          <w:rFonts w:ascii="Calibri" w:hAnsi="Calibri"/>
          <w:lang w:val="fr-BE"/>
        </w:rPr>
        <w:t xml:space="preserve"> L’évaluation</w:t>
      </w:r>
      <w:r w:rsidRPr="1891CBCE">
        <w:rPr>
          <w:rFonts w:ascii="Calibri" w:hAnsi="Calibri" w:cs="Calibri"/>
          <w:lang w:val="fr-BE"/>
        </w:rPr>
        <w:t xml:space="preserve"> prendra en compte les rapports d'évaluation du programme commun</w:t>
      </w:r>
      <w:r w:rsidR="005F7384">
        <w:rPr>
          <w:rFonts w:ascii="Calibri" w:hAnsi="Calibri" w:cs="Calibri"/>
          <w:lang w:val="fr-BE"/>
        </w:rPr>
        <w:t xml:space="preserve"> précédent</w:t>
      </w:r>
      <w:r w:rsidRPr="1891CBCE">
        <w:rPr>
          <w:rFonts w:ascii="Calibri" w:hAnsi="Calibri" w:cs="Calibri"/>
          <w:lang w:val="fr-BE"/>
        </w:rPr>
        <w:t xml:space="preserve">. </w:t>
      </w:r>
    </w:p>
    <w:p w14:paraId="68FBD513" w14:textId="12F5F5AC" w:rsidR="00C9388B" w:rsidRPr="00C9388B" w:rsidRDefault="00C9388B" w:rsidP="1891CBCE">
      <w:pPr>
        <w:pStyle w:val="Corpsdetexte"/>
        <w:rPr>
          <w:rFonts w:ascii="Calibri" w:hAnsi="Calibri"/>
          <w:b/>
          <w:bCs/>
          <w:lang w:val="fr-BE"/>
        </w:rPr>
      </w:pPr>
    </w:p>
    <w:p w14:paraId="43A39A70" w14:textId="7012F4C1" w:rsidR="00C9388B" w:rsidRPr="00DA232D" w:rsidRDefault="1FF08553" w:rsidP="1891CBCE">
      <w:pPr>
        <w:rPr>
          <w:lang w:val="fr-BE"/>
        </w:rPr>
      </w:pPr>
      <w:r w:rsidRPr="00DA232D">
        <w:rPr>
          <w:lang w:val="fr-BE"/>
        </w:rPr>
        <w:br w:type="page"/>
      </w:r>
    </w:p>
    <w:p w14:paraId="4BFC3927" w14:textId="4B3D221B" w:rsidR="00C9388B" w:rsidRPr="00C9388B" w:rsidRDefault="1891CBCE" w:rsidP="1FF08553">
      <w:pPr>
        <w:pStyle w:val="Corpsdetexte"/>
        <w:rPr>
          <w:rFonts w:ascii="Calibri" w:hAnsi="Calibri"/>
          <w:b/>
          <w:bCs/>
          <w:lang w:val="fr-BE"/>
        </w:rPr>
      </w:pPr>
      <w:r w:rsidRPr="1891CBCE">
        <w:rPr>
          <w:rFonts w:ascii="Calibri" w:hAnsi="Calibri"/>
          <w:b/>
          <w:bCs/>
          <w:lang w:val="fr-BE"/>
        </w:rPr>
        <w:lastRenderedPageBreak/>
        <w:t>5. Modalités, calendrier, budget et profil recherché :</w:t>
      </w:r>
    </w:p>
    <w:p w14:paraId="1ED73897" w14:textId="2C00E44D" w:rsidR="00C9388B" w:rsidRPr="00C9388B" w:rsidRDefault="1891CBCE" w:rsidP="00C9388B">
      <w:pPr>
        <w:pStyle w:val="Corpsdetexte"/>
        <w:rPr>
          <w:rFonts w:ascii="Calibri" w:hAnsi="Calibri"/>
          <w:lang w:val="fr-BE"/>
        </w:rPr>
      </w:pPr>
      <w:r w:rsidRPr="1891CBCE">
        <w:rPr>
          <w:rFonts w:ascii="Calibri" w:hAnsi="Calibri"/>
          <w:lang w:val="fr-BE"/>
        </w:rPr>
        <w:t xml:space="preserve">L’évaluation se déroulera </w:t>
      </w:r>
      <w:r w:rsidRPr="00DA232D">
        <w:rPr>
          <w:rFonts w:ascii="Calibri" w:hAnsi="Calibri"/>
          <w:b/>
          <w:bCs/>
          <w:lang w:val="fr-BE"/>
        </w:rPr>
        <w:t>entre août et fin décembre 2026</w:t>
      </w:r>
      <w:r w:rsidRPr="1891CBCE">
        <w:rPr>
          <w:rFonts w:ascii="Calibri" w:hAnsi="Calibri"/>
          <w:lang w:val="fr-BE"/>
        </w:rPr>
        <w:t xml:space="preserve">. Les résultats de l’évaluation externe finale et les recommandations devraient idéalement être accessibles fin décembre 2026 pour une restitution à prévoir en janvier avec les partenaires.                                                          </w:t>
      </w:r>
    </w:p>
    <w:p w14:paraId="41F53D6F" w14:textId="09A4EA72" w:rsidR="00C9388B" w:rsidRPr="00C9388B" w:rsidRDefault="1891CBCE">
      <w:pPr>
        <w:pStyle w:val="Corpsdetexte"/>
        <w:spacing w:after="0"/>
        <w:jc w:val="both"/>
        <w:rPr>
          <w:rFonts w:ascii="Calibri" w:hAnsi="Calibri"/>
          <w:lang w:val="fr-BE"/>
        </w:rPr>
      </w:pPr>
      <w:r w:rsidRPr="1891CBCE">
        <w:rPr>
          <w:rFonts w:ascii="Calibri" w:hAnsi="Calibri"/>
          <w:lang w:val="fr-BE"/>
        </w:rPr>
        <w:t>L’évaluateur·ice devra démontrer une expérience reconnue en matière d’évaluations. Iel devra également démontrer une connaissance du secteur des ONG et de la coopération au développement</w:t>
      </w:r>
      <w:r w:rsidR="005F7384">
        <w:rPr>
          <w:rFonts w:ascii="Calibri" w:hAnsi="Calibri"/>
          <w:lang w:val="fr-BE"/>
        </w:rPr>
        <w:t>, ainsi que de l’intégration transversale des enjeux de genre, environnement et décolonisation</w:t>
      </w:r>
      <w:r w:rsidRPr="1891CBCE">
        <w:rPr>
          <w:rFonts w:ascii="Calibri" w:hAnsi="Calibri"/>
          <w:lang w:val="fr-BE"/>
        </w:rPr>
        <w:t>. Iel devra faire preuve de déontologie et d’indépendance vis-à-vis des quatre ONG partenaires.</w:t>
      </w:r>
    </w:p>
    <w:p w14:paraId="41A2AD3B" w14:textId="5D7A3C12" w:rsidR="00C9388B" w:rsidRPr="00C9388B" w:rsidRDefault="1891CBCE" w:rsidP="1891CBCE">
      <w:pPr>
        <w:pStyle w:val="Corpsdetexte"/>
        <w:spacing w:after="0"/>
        <w:jc w:val="both"/>
        <w:rPr>
          <w:rFonts w:ascii="Calibri" w:hAnsi="Calibri"/>
          <w:lang w:val="fr-BE"/>
        </w:rPr>
      </w:pPr>
      <w:r w:rsidRPr="1891CBCE">
        <w:rPr>
          <w:rFonts w:ascii="Calibri" w:hAnsi="Calibri"/>
          <w:lang w:val="fr-BE"/>
        </w:rPr>
        <w:t>Iel</w:t>
      </w:r>
      <w:r w:rsidRPr="1891CBCE">
        <w:rPr>
          <w:rFonts w:ascii="Calibri" w:eastAsia="Calibri" w:hAnsi="Calibri" w:cs="Calibri"/>
          <w:lang w:val="fr-BE"/>
        </w:rPr>
        <w:t xml:space="preserve"> </w:t>
      </w:r>
      <w:proofErr w:type="gramStart"/>
      <w:r w:rsidRPr="1891CBCE">
        <w:rPr>
          <w:rFonts w:ascii="Calibri" w:eastAsia="Calibri" w:hAnsi="Calibri" w:cs="Calibri"/>
          <w:lang w:val="fr-BE"/>
        </w:rPr>
        <w:t>sera en charge</w:t>
      </w:r>
      <w:proofErr w:type="gramEnd"/>
      <w:r w:rsidRPr="1891CBCE">
        <w:rPr>
          <w:rFonts w:ascii="Calibri" w:eastAsia="Calibri" w:hAnsi="Calibri" w:cs="Calibri"/>
          <w:lang w:val="fr-BE"/>
        </w:rPr>
        <w:t xml:space="preserve"> de la coordination de l’ensemble du processus d’évaluation.</w:t>
      </w:r>
      <w:r w:rsidRPr="1891CBCE">
        <w:rPr>
          <w:rFonts w:ascii="Calibri" w:hAnsi="Calibri"/>
          <w:lang w:val="fr-BE"/>
        </w:rPr>
        <w:t xml:space="preserve"> Un comité d’accompagnement composé de représentant</w:t>
      </w:r>
      <w:r w:rsidR="005F7384" w:rsidRPr="005F7384">
        <w:rPr>
          <w:rFonts w:ascii="Calibri" w:hAnsi="Calibri"/>
          <w:lang w:val="fr-BE"/>
        </w:rPr>
        <w:t>.es</w:t>
      </w:r>
      <w:r w:rsidRPr="1891CBCE">
        <w:rPr>
          <w:rFonts w:ascii="Calibri" w:hAnsi="Calibri"/>
          <w:lang w:val="fr-BE"/>
        </w:rPr>
        <w:t xml:space="preserve"> des quatre ONG partenaires </w:t>
      </w:r>
      <w:r w:rsidRPr="1891CBCE">
        <w:rPr>
          <w:rFonts w:ascii="Calibri" w:eastAsia="Calibri" w:hAnsi="Calibri" w:cs="Calibri"/>
          <w:lang w:val="fr-BE"/>
        </w:rPr>
        <w:t>se rendra disponible pour transmettre les informations nécessaires et organiser les réunions de cadrage et de clôture</w:t>
      </w:r>
      <w:r w:rsidRPr="1891CBCE">
        <w:rPr>
          <w:rFonts w:ascii="Calibri" w:hAnsi="Calibri"/>
          <w:lang w:val="fr-BE"/>
        </w:rPr>
        <w:t xml:space="preserve">. </w:t>
      </w:r>
    </w:p>
    <w:p w14:paraId="18DC8900" w14:textId="10696E6B" w:rsidR="00C9388B" w:rsidRPr="00C9388B" w:rsidRDefault="1891CBCE" w:rsidP="00C9388B">
      <w:pPr>
        <w:pStyle w:val="Corpsdetexte"/>
        <w:rPr>
          <w:rFonts w:ascii="Calibri" w:hAnsi="Calibri" w:cs="Calibri"/>
          <w:lang w:val="fr-BE"/>
        </w:rPr>
      </w:pPr>
      <w:r w:rsidRPr="1891CBCE">
        <w:rPr>
          <w:rFonts w:ascii="Calibri" w:hAnsi="Calibri" w:cs="Calibri"/>
          <w:lang w:val="fr-BE"/>
        </w:rPr>
        <w:t xml:space="preserve">Une réunion de cadrage sera organisée début septembre pour discuter et valider la méthodologie et les étapes (calendrier) de l’évaluation sur base d’une note élaborée par l’évaluateur·ice. En amont de la réunion de cadrage, </w:t>
      </w:r>
      <w:r w:rsidRPr="1891CBCE">
        <w:rPr>
          <w:rFonts w:ascii="Calibri" w:hAnsi="Calibri" w:cs="Calibri"/>
          <w:b/>
          <w:bCs/>
          <w:lang w:val="fr-BE"/>
        </w:rPr>
        <w:t xml:space="preserve">une revue documentaire préliminaire ainsi que d’éventuels entretiens préliminaires seront mis en place </w:t>
      </w:r>
      <w:r w:rsidRPr="1891CBCE">
        <w:rPr>
          <w:rFonts w:ascii="Calibri" w:hAnsi="Calibri" w:cs="Calibri"/>
          <w:lang w:val="fr-BE"/>
        </w:rPr>
        <w:t>afin de faciliter le travail préparatoire de l’évaluateur·ice. L’évaluation se clôturera par une séance de restitution.</w:t>
      </w:r>
    </w:p>
    <w:p w14:paraId="5F80934C" w14:textId="39E432EF" w:rsidR="00C9388B" w:rsidRPr="00C9388B" w:rsidRDefault="1FF08553" w:rsidP="1FF08553">
      <w:pPr>
        <w:pStyle w:val="Corpsdetexte"/>
        <w:rPr>
          <w:rFonts w:asciiTheme="majorHAnsi" w:eastAsiaTheme="majorEastAsia" w:hAnsiTheme="majorHAnsi" w:cstheme="majorBidi"/>
          <w:lang w:val="fr-BE"/>
        </w:rPr>
      </w:pPr>
      <w:r w:rsidRPr="1FF08553">
        <w:rPr>
          <w:rFonts w:ascii="Calibri" w:hAnsi="Calibri"/>
          <w:lang w:val="fr-BE"/>
        </w:rPr>
        <w:t xml:space="preserve">Le comité d’accompagnement mettra à la disposition de l’évaluateur·ice tous les documents utiles pour mener à bien sa mission (programme commun DGD, évaluations précédentes, documents stratégiques des </w:t>
      </w:r>
      <w:r w:rsidR="00930755">
        <w:rPr>
          <w:rFonts w:ascii="Calibri" w:hAnsi="Calibri"/>
          <w:lang w:val="fr-BE"/>
        </w:rPr>
        <w:t>quatre</w:t>
      </w:r>
      <w:r w:rsidRPr="1FF08553">
        <w:rPr>
          <w:rFonts w:ascii="Calibri" w:hAnsi="Calibri"/>
          <w:lang w:val="fr-BE"/>
        </w:rPr>
        <w:t xml:space="preserve"> ONG, CSC Belgique, cadres logiques, théories du changement, </w:t>
      </w:r>
      <w:r w:rsidRPr="1FF08553">
        <w:rPr>
          <w:rFonts w:ascii="Calibri" w:hAnsi="Calibri" w:cs="Calibri"/>
          <w:lang w:val="fr-BE"/>
        </w:rPr>
        <w:t>rapports intermédiaires, indicateurs de suivi et marqueurs de progrès,</w:t>
      </w:r>
      <w:r w:rsidRPr="1FF08553">
        <w:rPr>
          <w:lang w:val="fr-BE"/>
        </w:rPr>
        <w:t xml:space="preserve"> </w:t>
      </w:r>
      <w:r w:rsidRPr="1FF08553">
        <w:rPr>
          <w:rFonts w:ascii="Calibri" w:hAnsi="Calibri"/>
          <w:lang w:val="fr-BE"/>
        </w:rPr>
        <w:t>etc.). Il accompagnera p</w:t>
      </w:r>
      <w:r w:rsidRPr="1FF08553">
        <w:rPr>
          <w:rFonts w:asciiTheme="majorHAnsi" w:eastAsiaTheme="majorEastAsia" w:hAnsiTheme="majorHAnsi" w:cstheme="majorBidi"/>
          <w:lang w:val="fr-BE"/>
        </w:rPr>
        <w:t xml:space="preserve">lus largement la mise en œuvre de l’évaluation. </w:t>
      </w:r>
    </w:p>
    <w:p w14:paraId="26234B86" w14:textId="2424AC3D" w:rsidR="00C9388B" w:rsidRPr="00C9388B" w:rsidRDefault="1FF08553" w:rsidP="1FF08553">
      <w:pPr>
        <w:pStyle w:val="Corpsdetexte"/>
        <w:rPr>
          <w:rFonts w:asciiTheme="majorHAnsi" w:eastAsiaTheme="majorEastAsia" w:hAnsiTheme="majorHAnsi" w:cstheme="majorBidi"/>
          <w:lang w:val="fr-BE"/>
        </w:rPr>
      </w:pPr>
      <w:r w:rsidRPr="1FF08553">
        <w:rPr>
          <w:rFonts w:asciiTheme="majorHAnsi" w:eastAsiaTheme="majorEastAsia" w:hAnsiTheme="majorHAnsi" w:cstheme="majorBidi"/>
          <w:lang w:val="fr-BE"/>
        </w:rPr>
        <w:t>Une ou plusieurs sessions de restitution seront organisées afin d’informer les bailleurs, partenaires et partenaires locaux des conclusions et recommandations de l’évaluation.</w:t>
      </w:r>
    </w:p>
    <w:p w14:paraId="49DCEE66" w14:textId="70CB6543" w:rsidR="00C9388B" w:rsidRPr="00C9388B" w:rsidRDefault="1891CBCE" w:rsidP="1891CBCE">
      <w:pPr>
        <w:pStyle w:val="Corpsdetexte"/>
        <w:rPr>
          <w:rFonts w:asciiTheme="majorHAnsi" w:eastAsiaTheme="majorEastAsia" w:hAnsiTheme="majorHAnsi" w:cstheme="majorBidi"/>
          <w:lang w:val="fr-BE"/>
        </w:rPr>
      </w:pPr>
      <w:r w:rsidRPr="1891CBCE">
        <w:rPr>
          <w:rFonts w:asciiTheme="majorHAnsi" w:eastAsiaTheme="majorEastAsia" w:hAnsiTheme="majorHAnsi" w:cstheme="majorBidi"/>
          <w:lang w:val="fr-BE"/>
        </w:rPr>
        <w:t xml:space="preserve">Le budget prévu est de maximum </w:t>
      </w:r>
      <w:r w:rsidR="00715AEC">
        <w:rPr>
          <w:rFonts w:asciiTheme="majorHAnsi" w:eastAsiaTheme="majorEastAsia" w:hAnsiTheme="majorHAnsi" w:cstheme="majorBidi"/>
          <w:lang w:val="fr-BE"/>
        </w:rPr>
        <w:t>35.000</w:t>
      </w:r>
      <w:r w:rsidR="00715AEC" w:rsidRPr="1891CBCE">
        <w:rPr>
          <w:rFonts w:asciiTheme="majorHAnsi" w:eastAsiaTheme="majorEastAsia" w:hAnsiTheme="majorHAnsi" w:cstheme="majorBidi"/>
          <w:lang w:val="fr-BE"/>
        </w:rPr>
        <w:t xml:space="preserve"> </w:t>
      </w:r>
      <w:r w:rsidRPr="1891CBCE">
        <w:rPr>
          <w:rFonts w:asciiTheme="majorHAnsi" w:eastAsiaTheme="majorEastAsia" w:hAnsiTheme="majorHAnsi" w:cstheme="majorBidi"/>
          <w:lang w:val="fr-BE"/>
        </w:rPr>
        <w:t xml:space="preserve">EUR TTC au total. </w:t>
      </w:r>
    </w:p>
    <w:p w14:paraId="309AA8A4" w14:textId="66973E79" w:rsidR="1891CBCE" w:rsidRDefault="1891CBCE" w:rsidP="00DA232D">
      <w:pPr>
        <w:spacing w:after="0"/>
        <w:jc w:val="both"/>
        <w:rPr>
          <w:rFonts w:ascii="Calibri" w:eastAsia="Calibri" w:hAnsi="Calibri" w:cs="Calibri"/>
          <w:lang w:val="fr-BE"/>
        </w:rPr>
      </w:pPr>
      <w:r w:rsidRPr="1891CBCE">
        <w:rPr>
          <w:rFonts w:ascii="Calibri" w:eastAsia="Calibri" w:hAnsi="Calibri" w:cs="Calibri"/>
          <w:lang w:val="fr-BE"/>
        </w:rPr>
        <w:t>Les paiements seront échelonnés comme suit :</w:t>
      </w:r>
    </w:p>
    <w:p w14:paraId="12CE18E2" w14:textId="204A150A" w:rsidR="1891CBCE" w:rsidRDefault="1891CBCE" w:rsidP="00DA232D">
      <w:pPr>
        <w:pStyle w:val="Paragraphedeliste"/>
        <w:numPr>
          <w:ilvl w:val="0"/>
          <w:numId w:val="1"/>
        </w:numPr>
        <w:spacing w:after="0"/>
        <w:jc w:val="both"/>
        <w:rPr>
          <w:rFonts w:ascii="Calibri" w:eastAsia="Calibri" w:hAnsi="Calibri" w:cs="Calibri"/>
          <w:lang w:val="fr-BE"/>
        </w:rPr>
      </w:pPr>
      <w:r w:rsidRPr="1891CBCE">
        <w:rPr>
          <w:rFonts w:ascii="Calibri" w:eastAsia="Calibri" w:hAnsi="Calibri" w:cs="Calibri"/>
          <w:lang w:val="fr-BE"/>
        </w:rPr>
        <w:t>30% lors de la signature du contrat ;</w:t>
      </w:r>
    </w:p>
    <w:p w14:paraId="1A6D242C" w14:textId="56A63189" w:rsidR="1891CBCE" w:rsidRDefault="1891CBCE" w:rsidP="00DA232D">
      <w:pPr>
        <w:pStyle w:val="Paragraphedeliste"/>
        <w:numPr>
          <w:ilvl w:val="0"/>
          <w:numId w:val="1"/>
        </w:numPr>
        <w:spacing w:after="0"/>
        <w:jc w:val="both"/>
        <w:rPr>
          <w:rFonts w:ascii="Calibri" w:eastAsia="Calibri" w:hAnsi="Calibri" w:cs="Calibri"/>
          <w:lang w:val="fr-BE"/>
        </w:rPr>
      </w:pPr>
      <w:r w:rsidRPr="1891CBCE">
        <w:rPr>
          <w:rFonts w:ascii="Calibri" w:eastAsia="Calibri" w:hAnsi="Calibri" w:cs="Calibri"/>
          <w:lang w:val="fr-BE"/>
        </w:rPr>
        <w:t xml:space="preserve">30% lors de la réception du rapport provisoire ; </w:t>
      </w:r>
    </w:p>
    <w:p w14:paraId="4D08CFA9" w14:textId="43BB96ED" w:rsidR="1891CBCE" w:rsidRDefault="1891CBCE" w:rsidP="00DA232D">
      <w:pPr>
        <w:pStyle w:val="Paragraphedeliste"/>
        <w:numPr>
          <w:ilvl w:val="0"/>
          <w:numId w:val="1"/>
        </w:numPr>
        <w:spacing w:after="0"/>
        <w:jc w:val="both"/>
        <w:rPr>
          <w:rFonts w:ascii="Calibri" w:eastAsia="Calibri" w:hAnsi="Calibri" w:cs="Calibri"/>
          <w:lang w:val="fr-BE"/>
        </w:rPr>
      </w:pPr>
      <w:r w:rsidRPr="1891CBCE">
        <w:rPr>
          <w:rFonts w:ascii="Calibri" w:eastAsia="Calibri" w:hAnsi="Calibri" w:cs="Calibri"/>
          <w:lang w:val="fr-BE"/>
        </w:rPr>
        <w:t>40% lors de la validation du rapport final.</w:t>
      </w:r>
    </w:p>
    <w:p w14:paraId="0A2262F0" w14:textId="7CE6C857" w:rsidR="1891CBCE" w:rsidRDefault="1891CBCE" w:rsidP="1891CBCE">
      <w:pPr>
        <w:pStyle w:val="Corpsdetexte"/>
        <w:rPr>
          <w:rFonts w:asciiTheme="majorHAnsi" w:eastAsiaTheme="majorEastAsia" w:hAnsiTheme="majorHAnsi" w:cstheme="majorBidi"/>
          <w:lang w:val="fr-BE"/>
        </w:rPr>
      </w:pPr>
    </w:p>
    <w:p w14:paraId="7CA8216C" w14:textId="47E57BD9" w:rsidR="1FF08553" w:rsidRDefault="1FF08553" w:rsidP="1891CBCE">
      <w:pPr>
        <w:pStyle w:val="Corpsdetexte"/>
        <w:rPr>
          <w:rFonts w:asciiTheme="majorHAnsi" w:eastAsiaTheme="majorEastAsia" w:hAnsiTheme="majorHAnsi" w:cstheme="majorBidi"/>
          <w:b/>
          <w:bCs/>
          <w:lang w:val="fr-BE"/>
        </w:rPr>
      </w:pPr>
    </w:p>
    <w:p w14:paraId="0517D9EE" w14:textId="6E550073" w:rsidR="1FF08553" w:rsidRPr="00DA232D" w:rsidRDefault="1FF08553" w:rsidP="1891CBCE">
      <w:pPr>
        <w:rPr>
          <w:lang w:val="fr-BE"/>
        </w:rPr>
      </w:pPr>
      <w:r w:rsidRPr="00DA232D">
        <w:rPr>
          <w:lang w:val="fr-BE"/>
        </w:rPr>
        <w:br w:type="page"/>
      </w:r>
    </w:p>
    <w:p w14:paraId="04F1B3C9" w14:textId="3E8949CB" w:rsidR="1FF08553" w:rsidRDefault="1891CBCE" w:rsidP="1891CBCE">
      <w:pPr>
        <w:pStyle w:val="Corpsdetexte"/>
        <w:rPr>
          <w:rFonts w:asciiTheme="majorHAnsi" w:eastAsiaTheme="majorEastAsia" w:hAnsiTheme="majorHAnsi" w:cstheme="majorBidi"/>
          <w:b/>
          <w:bCs/>
          <w:lang w:val="fr-BE"/>
        </w:rPr>
      </w:pPr>
      <w:r w:rsidRPr="1891CBCE">
        <w:rPr>
          <w:rFonts w:asciiTheme="majorHAnsi" w:eastAsiaTheme="majorEastAsia" w:hAnsiTheme="majorHAnsi" w:cstheme="majorBidi"/>
          <w:b/>
          <w:bCs/>
          <w:lang w:val="fr-BE"/>
        </w:rPr>
        <w:lastRenderedPageBreak/>
        <w:t>6. Présentation et sélection des offres</w:t>
      </w:r>
    </w:p>
    <w:p w14:paraId="390BB1F4" w14:textId="1F147690" w:rsidR="1FF08553" w:rsidRDefault="1FF08553" w:rsidP="1FF08553">
      <w:pPr>
        <w:pStyle w:val="Corpsdetexte"/>
        <w:rPr>
          <w:rFonts w:asciiTheme="majorHAnsi" w:eastAsiaTheme="majorEastAsia" w:hAnsiTheme="majorHAnsi" w:cstheme="majorBidi"/>
          <w:lang w:val="fr-BE"/>
        </w:rPr>
      </w:pPr>
      <w:r w:rsidRPr="1FF08553">
        <w:rPr>
          <w:rFonts w:asciiTheme="majorHAnsi" w:eastAsiaTheme="majorEastAsia" w:hAnsiTheme="majorHAnsi" w:cstheme="majorBidi"/>
          <w:lang w:val="fr-BE"/>
        </w:rPr>
        <w:t>Les offres seront analysées tenant compte des documents suivants :</w:t>
      </w:r>
    </w:p>
    <w:p w14:paraId="18A15A64" w14:textId="534205BF" w:rsidR="1FF08553" w:rsidRDefault="1FF08553" w:rsidP="1FF08553">
      <w:pPr>
        <w:pStyle w:val="Corpsdetexte"/>
        <w:numPr>
          <w:ilvl w:val="0"/>
          <w:numId w:val="4"/>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 xml:space="preserve">Profil de </w:t>
      </w:r>
      <w:r w:rsidR="00E24F12" w:rsidRPr="1FF08553">
        <w:rPr>
          <w:rFonts w:asciiTheme="majorHAnsi" w:eastAsiaTheme="majorEastAsia" w:hAnsiTheme="majorHAnsi" w:cstheme="majorBidi"/>
          <w:lang w:val="fr-BE"/>
        </w:rPr>
        <w:t>l’évaluateur</w:t>
      </w:r>
      <w:r w:rsidR="00E24F12" w:rsidRPr="00E24F12">
        <w:rPr>
          <w:rFonts w:asciiTheme="majorHAnsi" w:eastAsiaTheme="majorEastAsia" w:hAnsiTheme="majorHAnsi" w:cstheme="majorBidi"/>
          <w:lang w:val="fr-BE"/>
        </w:rPr>
        <w:t>.</w:t>
      </w:r>
      <w:r w:rsidR="00E24F12" w:rsidRPr="1FF08553">
        <w:rPr>
          <w:rFonts w:asciiTheme="majorHAnsi" w:eastAsiaTheme="majorEastAsia" w:hAnsiTheme="majorHAnsi" w:cstheme="majorBidi"/>
          <w:lang w:val="fr-BE"/>
        </w:rPr>
        <w:t xml:space="preserve"> </w:t>
      </w:r>
      <w:proofErr w:type="spellStart"/>
      <w:proofErr w:type="gramStart"/>
      <w:r w:rsidR="00E24F12" w:rsidRPr="1FF08553">
        <w:rPr>
          <w:rFonts w:asciiTheme="majorHAnsi" w:eastAsiaTheme="majorEastAsia" w:hAnsiTheme="majorHAnsi" w:cstheme="majorBidi"/>
          <w:lang w:val="fr-BE"/>
        </w:rPr>
        <w:t>rice</w:t>
      </w:r>
      <w:proofErr w:type="spellEnd"/>
      <w:proofErr w:type="gramEnd"/>
      <w:r w:rsidRPr="1FF08553">
        <w:rPr>
          <w:rFonts w:asciiTheme="majorHAnsi" w:eastAsiaTheme="majorEastAsia" w:hAnsiTheme="majorHAnsi" w:cstheme="majorBidi"/>
          <w:lang w:val="fr-BE"/>
        </w:rPr>
        <w:t xml:space="preserve"> défini ci-dessus (annexer un CV précisant l’expérience professionnelle en relation avec ce profil) ;</w:t>
      </w:r>
    </w:p>
    <w:p w14:paraId="25CD4C66" w14:textId="0AE36CEB" w:rsidR="1FF08553" w:rsidRDefault="1FF08553" w:rsidP="1FF08553">
      <w:pPr>
        <w:pStyle w:val="Corpsdetexte"/>
        <w:numPr>
          <w:ilvl w:val="0"/>
          <w:numId w:val="4"/>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Budget détaillé, spécifiant le temps consacré aux réunions avec le commanditaire, à la lecture de la documentation et aux analyses quantitatives et qualitatives (séparément) ;</w:t>
      </w:r>
    </w:p>
    <w:p w14:paraId="062796EC" w14:textId="612851A1" w:rsidR="1FF08553" w:rsidRDefault="1FF08553" w:rsidP="1FF08553">
      <w:pPr>
        <w:pStyle w:val="Corpsdetexte"/>
        <w:numPr>
          <w:ilvl w:val="0"/>
          <w:numId w:val="4"/>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Les choix méthodologiques détaillés et justifiés.</w:t>
      </w:r>
    </w:p>
    <w:p w14:paraId="6708E28D" w14:textId="75AB08FD" w:rsidR="1FF08553" w:rsidRDefault="1FF08553" w:rsidP="1FF08553">
      <w:pPr>
        <w:pStyle w:val="Corpsdetexte"/>
        <w:numPr>
          <w:ilvl w:val="0"/>
          <w:numId w:val="4"/>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Un calendrier précis détaillé ;</w:t>
      </w:r>
    </w:p>
    <w:p w14:paraId="091513F8" w14:textId="3D4B4963" w:rsidR="1FF08553" w:rsidRDefault="1FF08553" w:rsidP="1FF08553">
      <w:pPr>
        <w:pStyle w:val="Corpsdetexte"/>
        <w:rPr>
          <w:rFonts w:asciiTheme="majorHAnsi" w:eastAsiaTheme="majorEastAsia" w:hAnsiTheme="majorHAnsi" w:cstheme="majorBidi"/>
          <w:lang w:val="fr-BE"/>
        </w:rPr>
      </w:pPr>
      <w:r w:rsidRPr="1FF08553">
        <w:rPr>
          <w:rFonts w:asciiTheme="majorHAnsi" w:eastAsiaTheme="majorEastAsia" w:hAnsiTheme="majorHAnsi" w:cstheme="majorBidi"/>
          <w:lang w:val="fr-BE"/>
        </w:rPr>
        <w:t>Critères appréciés :</w:t>
      </w:r>
    </w:p>
    <w:p w14:paraId="2AC3666F" w14:textId="698459D4" w:rsidR="1FF08553" w:rsidRDefault="1FF08553" w:rsidP="1FF08553">
      <w:pPr>
        <w:pStyle w:val="Corpsdetexte"/>
        <w:numPr>
          <w:ilvl w:val="0"/>
          <w:numId w:val="3"/>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Délais de dépôt des offres prévus respectés ;</w:t>
      </w:r>
    </w:p>
    <w:p w14:paraId="13FC1C6A" w14:textId="464C43A9" w:rsidR="1FF08553" w:rsidRDefault="1FF08553" w:rsidP="1FF08553">
      <w:pPr>
        <w:pStyle w:val="Corpsdetexte"/>
        <w:numPr>
          <w:ilvl w:val="0"/>
          <w:numId w:val="3"/>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La correspondance aux Termes de Référence ;</w:t>
      </w:r>
    </w:p>
    <w:p w14:paraId="0097B02B" w14:textId="54D5CCD3" w:rsidR="1FF08553" w:rsidRDefault="2A53FCB8" w:rsidP="2A53FCB8">
      <w:pPr>
        <w:pStyle w:val="Corpsdetexte"/>
        <w:numPr>
          <w:ilvl w:val="0"/>
          <w:numId w:val="3"/>
        </w:numPr>
        <w:rPr>
          <w:rFonts w:asciiTheme="majorHAnsi" w:eastAsiaTheme="majorEastAsia" w:hAnsiTheme="majorHAnsi" w:cstheme="majorBidi"/>
          <w:lang w:val="fr-BE"/>
        </w:rPr>
      </w:pPr>
      <w:r w:rsidRPr="2A53FCB8">
        <w:rPr>
          <w:rFonts w:asciiTheme="majorHAnsi" w:eastAsiaTheme="majorEastAsia" w:hAnsiTheme="majorHAnsi" w:cstheme="majorBidi"/>
          <w:lang w:val="fr-BE"/>
        </w:rPr>
        <w:t>L’application d’une analyse genre</w:t>
      </w:r>
      <w:r w:rsidR="005F7384">
        <w:rPr>
          <w:rFonts w:asciiTheme="majorHAnsi" w:eastAsiaTheme="majorEastAsia" w:hAnsiTheme="majorHAnsi" w:cstheme="majorBidi"/>
          <w:lang w:val="fr-BE"/>
        </w:rPr>
        <w:t>,</w:t>
      </w:r>
      <w:r w:rsidRPr="2A53FCB8">
        <w:rPr>
          <w:rFonts w:asciiTheme="majorHAnsi" w:eastAsiaTheme="majorEastAsia" w:hAnsiTheme="majorHAnsi" w:cstheme="majorBidi"/>
          <w:lang w:val="fr-BE"/>
        </w:rPr>
        <w:t xml:space="preserve"> environnement </w:t>
      </w:r>
      <w:r w:rsidR="005F7384">
        <w:rPr>
          <w:rFonts w:asciiTheme="majorHAnsi" w:eastAsiaTheme="majorEastAsia" w:hAnsiTheme="majorHAnsi" w:cstheme="majorBidi"/>
          <w:lang w:val="fr-BE"/>
        </w:rPr>
        <w:t xml:space="preserve">et approche </w:t>
      </w:r>
      <w:proofErr w:type="spellStart"/>
      <w:r w:rsidR="005F7384">
        <w:rPr>
          <w:rFonts w:asciiTheme="majorHAnsi" w:eastAsiaTheme="majorEastAsia" w:hAnsiTheme="majorHAnsi" w:cstheme="majorBidi"/>
          <w:lang w:val="fr-BE"/>
        </w:rPr>
        <w:t>décoloniale</w:t>
      </w:r>
      <w:proofErr w:type="spellEnd"/>
      <w:r w:rsidR="005F7384">
        <w:rPr>
          <w:rFonts w:asciiTheme="majorHAnsi" w:eastAsiaTheme="majorEastAsia" w:hAnsiTheme="majorHAnsi" w:cstheme="majorBidi"/>
          <w:lang w:val="fr-BE"/>
        </w:rPr>
        <w:t xml:space="preserve"> </w:t>
      </w:r>
      <w:r w:rsidRPr="2A53FCB8">
        <w:rPr>
          <w:rFonts w:asciiTheme="majorHAnsi" w:eastAsiaTheme="majorEastAsia" w:hAnsiTheme="majorHAnsi" w:cstheme="majorBidi"/>
          <w:lang w:val="fr-BE"/>
        </w:rPr>
        <w:t>transversale ;</w:t>
      </w:r>
    </w:p>
    <w:p w14:paraId="72D7DB38" w14:textId="4C0336B5" w:rsidR="1FF08553" w:rsidRDefault="1FF08553" w:rsidP="1FF08553">
      <w:pPr>
        <w:pStyle w:val="Corpsdetexte"/>
        <w:rPr>
          <w:rFonts w:asciiTheme="majorHAnsi" w:eastAsiaTheme="majorEastAsia" w:hAnsiTheme="majorHAnsi" w:cstheme="majorBidi"/>
          <w:lang w:val="fr-BE"/>
        </w:rPr>
      </w:pPr>
      <w:r w:rsidRPr="1FF08553">
        <w:rPr>
          <w:rFonts w:asciiTheme="majorHAnsi" w:eastAsiaTheme="majorEastAsia" w:hAnsiTheme="majorHAnsi" w:cstheme="majorBidi"/>
          <w:lang w:val="fr-BE"/>
        </w:rPr>
        <w:t>Les critères seront pondérés comme suit :</w:t>
      </w:r>
    </w:p>
    <w:p w14:paraId="715AF26A" w14:textId="2E91BC59" w:rsidR="1FF08553" w:rsidRDefault="1FF08553" w:rsidP="1FF08553">
      <w:pPr>
        <w:pStyle w:val="Corpsdetexte"/>
        <w:numPr>
          <w:ilvl w:val="0"/>
          <w:numId w:val="2"/>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Ressources-expertises mobilisées – 40 points</w:t>
      </w:r>
    </w:p>
    <w:p w14:paraId="0162E685" w14:textId="5D86B5F1" w:rsidR="1FF08553" w:rsidRDefault="1FF08553" w:rsidP="1FF08553">
      <w:pPr>
        <w:pStyle w:val="Corpsdetexte"/>
        <w:numPr>
          <w:ilvl w:val="0"/>
          <w:numId w:val="2"/>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Offre méthodologique (en ce inclus des aspects innovants) – 40 points</w:t>
      </w:r>
    </w:p>
    <w:p w14:paraId="39B14487" w14:textId="7F7869D6" w:rsidR="1FF08553" w:rsidRDefault="1FF08553" w:rsidP="1FF08553">
      <w:pPr>
        <w:pStyle w:val="Corpsdetexte"/>
        <w:numPr>
          <w:ilvl w:val="0"/>
          <w:numId w:val="2"/>
        </w:numPr>
        <w:rPr>
          <w:rFonts w:asciiTheme="majorHAnsi" w:eastAsiaTheme="majorEastAsia" w:hAnsiTheme="majorHAnsi" w:cstheme="majorBidi"/>
          <w:lang w:val="fr-BE"/>
        </w:rPr>
      </w:pPr>
      <w:r w:rsidRPr="1FF08553">
        <w:rPr>
          <w:rFonts w:asciiTheme="majorHAnsi" w:eastAsiaTheme="majorEastAsia" w:hAnsiTheme="majorHAnsi" w:cstheme="majorBidi"/>
          <w:lang w:val="fr-BE"/>
        </w:rPr>
        <w:t>Offre financière – 20 points</w:t>
      </w:r>
    </w:p>
    <w:p w14:paraId="286B8911" w14:textId="4234D074" w:rsidR="1FF08553" w:rsidRDefault="1FF08553" w:rsidP="1FF08553">
      <w:pPr>
        <w:pStyle w:val="Corpsdetexte"/>
        <w:rPr>
          <w:rFonts w:asciiTheme="majorHAnsi" w:eastAsiaTheme="majorEastAsia" w:hAnsiTheme="majorHAnsi" w:cstheme="majorBidi"/>
          <w:lang w:val="fr-BE"/>
        </w:rPr>
      </w:pPr>
    </w:p>
    <w:p w14:paraId="0B018295" w14:textId="77DF1C61" w:rsidR="00C9388B" w:rsidRPr="000C5D19" w:rsidRDefault="2A53FCB8" w:rsidP="2A53FCB8">
      <w:pPr>
        <w:pStyle w:val="Corpsdetexte"/>
        <w:rPr>
          <w:rFonts w:asciiTheme="majorHAnsi" w:eastAsiaTheme="majorEastAsia" w:hAnsiTheme="majorHAnsi" w:cstheme="majorBidi"/>
          <w:lang w:val="fr-BE"/>
        </w:rPr>
      </w:pPr>
      <w:r w:rsidRPr="2A53FCB8">
        <w:rPr>
          <w:rFonts w:asciiTheme="majorHAnsi" w:eastAsiaTheme="majorEastAsia" w:hAnsiTheme="majorHAnsi" w:cstheme="majorBidi"/>
          <w:lang w:val="fr-BE"/>
        </w:rPr>
        <w:t xml:space="preserve">Les offres comprenant une proposition méthodologique, un budget et un calendrier sont à envoyer à </w:t>
      </w:r>
      <w:hyperlink r:id="rId6">
        <w:r w:rsidRPr="2A53FCB8">
          <w:rPr>
            <w:rStyle w:val="Lienhypertexte"/>
            <w:rFonts w:asciiTheme="majorHAnsi" w:eastAsiaTheme="majorEastAsia" w:hAnsiTheme="majorHAnsi" w:cstheme="majorBidi"/>
            <w:lang w:val="fr-BE"/>
          </w:rPr>
          <w:t>cncd@cncd.be</w:t>
        </w:r>
      </w:hyperlink>
      <w:r w:rsidRPr="2A53FCB8">
        <w:rPr>
          <w:rFonts w:asciiTheme="majorHAnsi" w:eastAsiaTheme="majorEastAsia" w:hAnsiTheme="majorHAnsi" w:cstheme="majorBidi"/>
          <w:lang w:val="fr-BE"/>
        </w:rPr>
        <w:t xml:space="preserve"> pour le </w:t>
      </w:r>
      <w:r w:rsidRPr="00DA232D">
        <w:rPr>
          <w:rFonts w:asciiTheme="majorHAnsi" w:eastAsiaTheme="majorEastAsia" w:hAnsiTheme="majorHAnsi" w:cstheme="majorBidi"/>
          <w:b/>
          <w:bCs/>
          <w:u w:val="single"/>
          <w:lang w:val="fr-BE"/>
        </w:rPr>
        <w:t xml:space="preserve">20 juin 2026 </w:t>
      </w:r>
      <w:r w:rsidRPr="2A53FCB8">
        <w:rPr>
          <w:rFonts w:asciiTheme="majorHAnsi" w:eastAsiaTheme="majorEastAsia" w:hAnsiTheme="majorHAnsi" w:cstheme="majorBidi"/>
          <w:lang w:val="fr-BE"/>
        </w:rPr>
        <w:t>avec en objet la référence - évaluation finale programme DGD – NOM de l’</w:t>
      </w:r>
      <w:proofErr w:type="spellStart"/>
      <w:r w:rsidRPr="2A53FCB8">
        <w:rPr>
          <w:rFonts w:asciiTheme="majorHAnsi" w:eastAsiaTheme="majorEastAsia" w:hAnsiTheme="majorHAnsi" w:cstheme="majorBidi"/>
          <w:lang w:val="fr-BE"/>
        </w:rPr>
        <w:t>évaluateur·ice</w:t>
      </w:r>
      <w:proofErr w:type="spellEnd"/>
      <w:r w:rsidRPr="2A53FCB8">
        <w:rPr>
          <w:rFonts w:asciiTheme="majorHAnsi" w:eastAsiaTheme="majorEastAsia" w:hAnsiTheme="majorHAnsi" w:cstheme="majorBidi"/>
          <w:lang w:val="fr-BE"/>
        </w:rPr>
        <w:t xml:space="preserve">. </w:t>
      </w:r>
    </w:p>
    <w:p w14:paraId="3BB2A675" w14:textId="061182C1" w:rsidR="00C9388B" w:rsidRPr="000C5D19" w:rsidRDefault="2A53FCB8" w:rsidP="2A53FCB8">
      <w:pPr>
        <w:pStyle w:val="Corpsdetexte"/>
        <w:rPr>
          <w:rFonts w:asciiTheme="majorHAnsi" w:eastAsiaTheme="majorEastAsia" w:hAnsiTheme="majorHAnsi" w:cstheme="majorBidi"/>
          <w:lang w:val="fr-BE"/>
        </w:rPr>
      </w:pPr>
      <w:r w:rsidRPr="2A53FCB8">
        <w:rPr>
          <w:rFonts w:asciiTheme="majorHAnsi" w:eastAsiaTheme="majorEastAsia" w:hAnsiTheme="majorHAnsi" w:cstheme="majorBidi"/>
          <w:lang w:val="fr-BE"/>
        </w:rPr>
        <w:t xml:space="preserve">L’évaluateur·ice sélectionné·e sera contacté·e avant la fin du mois de juillet. </w:t>
      </w:r>
    </w:p>
    <w:p w14:paraId="784083F8" w14:textId="77777777" w:rsidR="009618FB" w:rsidRPr="00C9388B" w:rsidRDefault="009618FB" w:rsidP="1FF08553">
      <w:pPr>
        <w:rPr>
          <w:rFonts w:asciiTheme="majorHAnsi" w:eastAsiaTheme="majorEastAsia" w:hAnsiTheme="majorHAnsi" w:cstheme="majorBidi"/>
          <w:lang w:val="fr-BE"/>
        </w:rPr>
      </w:pPr>
    </w:p>
    <w:sectPr w:rsidR="009618FB" w:rsidRPr="00C938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840B11"/>
    <w:multiLevelType w:val="multilevel"/>
    <w:tmpl w:val="790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F0750C"/>
    <w:multiLevelType w:val="hybridMultilevel"/>
    <w:tmpl w:val="4F28444A"/>
    <w:lvl w:ilvl="0" w:tplc="1EA883E2">
      <w:start w:val="1"/>
      <w:numFmt w:val="bullet"/>
      <w:lvlText w:val="·"/>
      <w:lvlJc w:val="left"/>
      <w:pPr>
        <w:ind w:left="720" w:hanging="360"/>
      </w:pPr>
      <w:rPr>
        <w:rFonts w:ascii="Symbol" w:hAnsi="Symbol" w:hint="default"/>
      </w:rPr>
    </w:lvl>
    <w:lvl w:ilvl="1" w:tplc="081A499A">
      <w:start w:val="1"/>
      <w:numFmt w:val="bullet"/>
      <w:lvlText w:val="o"/>
      <w:lvlJc w:val="left"/>
      <w:pPr>
        <w:ind w:left="1440" w:hanging="360"/>
      </w:pPr>
      <w:rPr>
        <w:rFonts w:ascii="Courier New" w:hAnsi="Courier New" w:hint="default"/>
      </w:rPr>
    </w:lvl>
    <w:lvl w:ilvl="2" w:tplc="2D244A30">
      <w:start w:val="1"/>
      <w:numFmt w:val="bullet"/>
      <w:lvlText w:val=""/>
      <w:lvlJc w:val="left"/>
      <w:pPr>
        <w:ind w:left="2160" w:hanging="360"/>
      </w:pPr>
      <w:rPr>
        <w:rFonts w:ascii="Wingdings" w:hAnsi="Wingdings" w:hint="default"/>
      </w:rPr>
    </w:lvl>
    <w:lvl w:ilvl="3" w:tplc="7300290A">
      <w:start w:val="1"/>
      <w:numFmt w:val="bullet"/>
      <w:lvlText w:val=""/>
      <w:lvlJc w:val="left"/>
      <w:pPr>
        <w:ind w:left="2880" w:hanging="360"/>
      </w:pPr>
      <w:rPr>
        <w:rFonts w:ascii="Symbol" w:hAnsi="Symbol" w:hint="default"/>
      </w:rPr>
    </w:lvl>
    <w:lvl w:ilvl="4" w:tplc="AF3C2904">
      <w:start w:val="1"/>
      <w:numFmt w:val="bullet"/>
      <w:lvlText w:val="o"/>
      <w:lvlJc w:val="left"/>
      <w:pPr>
        <w:ind w:left="3600" w:hanging="360"/>
      </w:pPr>
      <w:rPr>
        <w:rFonts w:ascii="Courier New" w:hAnsi="Courier New" w:hint="default"/>
      </w:rPr>
    </w:lvl>
    <w:lvl w:ilvl="5" w:tplc="E5F225E0">
      <w:start w:val="1"/>
      <w:numFmt w:val="bullet"/>
      <w:lvlText w:val=""/>
      <w:lvlJc w:val="left"/>
      <w:pPr>
        <w:ind w:left="4320" w:hanging="360"/>
      </w:pPr>
      <w:rPr>
        <w:rFonts w:ascii="Wingdings" w:hAnsi="Wingdings" w:hint="default"/>
      </w:rPr>
    </w:lvl>
    <w:lvl w:ilvl="6" w:tplc="8D5EEB00">
      <w:start w:val="1"/>
      <w:numFmt w:val="bullet"/>
      <w:lvlText w:val=""/>
      <w:lvlJc w:val="left"/>
      <w:pPr>
        <w:ind w:left="5040" w:hanging="360"/>
      </w:pPr>
      <w:rPr>
        <w:rFonts w:ascii="Symbol" w:hAnsi="Symbol" w:hint="default"/>
      </w:rPr>
    </w:lvl>
    <w:lvl w:ilvl="7" w:tplc="EDFEC8DE">
      <w:start w:val="1"/>
      <w:numFmt w:val="bullet"/>
      <w:lvlText w:val="o"/>
      <w:lvlJc w:val="left"/>
      <w:pPr>
        <w:ind w:left="5760" w:hanging="360"/>
      </w:pPr>
      <w:rPr>
        <w:rFonts w:ascii="Courier New" w:hAnsi="Courier New" w:hint="default"/>
      </w:rPr>
    </w:lvl>
    <w:lvl w:ilvl="8" w:tplc="784EE3FC">
      <w:start w:val="1"/>
      <w:numFmt w:val="bullet"/>
      <w:lvlText w:val=""/>
      <w:lvlJc w:val="left"/>
      <w:pPr>
        <w:ind w:left="6480" w:hanging="360"/>
      </w:pPr>
      <w:rPr>
        <w:rFonts w:ascii="Wingdings" w:hAnsi="Wingdings" w:hint="default"/>
      </w:rPr>
    </w:lvl>
  </w:abstractNum>
  <w:abstractNum w:abstractNumId="11" w15:restartNumberingAfterBreak="0">
    <w:nsid w:val="15410DBF"/>
    <w:multiLevelType w:val="hybridMultilevel"/>
    <w:tmpl w:val="2D021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EF5659"/>
    <w:multiLevelType w:val="hybridMultilevel"/>
    <w:tmpl w:val="EDC0A0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DDA725A"/>
    <w:multiLevelType w:val="hybridMultilevel"/>
    <w:tmpl w:val="61DC98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2B3742B"/>
    <w:multiLevelType w:val="hybridMultilevel"/>
    <w:tmpl w:val="F0825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73286D9"/>
    <w:multiLevelType w:val="hybridMultilevel"/>
    <w:tmpl w:val="5F580E06"/>
    <w:lvl w:ilvl="0" w:tplc="7E003B84">
      <w:start w:val="1"/>
      <w:numFmt w:val="bullet"/>
      <w:lvlText w:val=""/>
      <w:lvlJc w:val="left"/>
      <w:pPr>
        <w:ind w:left="720" w:hanging="360"/>
      </w:pPr>
      <w:rPr>
        <w:rFonts w:ascii="Symbol" w:hAnsi="Symbol" w:hint="default"/>
      </w:rPr>
    </w:lvl>
    <w:lvl w:ilvl="1" w:tplc="AD784E92">
      <w:start w:val="1"/>
      <w:numFmt w:val="bullet"/>
      <w:lvlText w:val="o"/>
      <w:lvlJc w:val="left"/>
      <w:pPr>
        <w:ind w:left="1440" w:hanging="360"/>
      </w:pPr>
      <w:rPr>
        <w:rFonts w:ascii="Courier New" w:hAnsi="Courier New" w:hint="default"/>
      </w:rPr>
    </w:lvl>
    <w:lvl w:ilvl="2" w:tplc="BA34D0E4">
      <w:start w:val="1"/>
      <w:numFmt w:val="bullet"/>
      <w:lvlText w:val=""/>
      <w:lvlJc w:val="left"/>
      <w:pPr>
        <w:ind w:left="2160" w:hanging="360"/>
      </w:pPr>
      <w:rPr>
        <w:rFonts w:ascii="Wingdings" w:hAnsi="Wingdings" w:hint="default"/>
      </w:rPr>
    </w:lvl>
    <w:lvl w:ilvl="3" w:tplc="64325B6C">
      <w:start w:val="1"/>
      <w:numFmt w:val="bullet"/>
      <w:lvlText w:val=""/>
      <w:lvlJc w:val="left"/>
      <w:pPr>
        <w:ind w:left="2880" w:hanging="360"/>
      </w:pPr>
      <w:rPr>
        <w:rFonts w:ascii="Symbol" w:hAnsi="Symbol" w:hint="default"/>
      </w:rPr>
    </w:lvl>
    <w:lvl w:ilvl="4" w:tplc="A6C2D880">
      <w:start w:val="1"/>
      <w:numFmt w:val="bullet"/>
      <w:lvlText w:val="o"/>
      <w:lvlJc w:val="left"/>
      <w:pPr>
        <w:ind w:left="3600" w:hanging="360"/>
      </w:pPr>
      <w:rPr>
        <w:rFonts w:ascii="Courier New" w:hAnsi="Courier New" w:hint="default"/>
      </w:rPr>
    </w:lvl>
    <w:lvl w:ilvl="5" w:tplc="53FA0242">
      <w:start w:val="1"/>
      <w:numFmt w:val="bullet"/>
      <w:lvlText w:val=""/>
      <w:lvlJc w:val="left"/>
      <w:pPr>
        <w:ind w:left="4320" w:hanging="360"/>
      </w:pPr>
      <w:rPr>
        <w:rFonts w:ascii="Wingdings" w:hAnsi="Wingdings" w:hint="default"/>
      </w:rPr>
    </w:lvl>
    <w:lvl w:ilvl="6" w:tplc="DCB00B6E">
      <w:start w:val="1"/>
      <w:numFmt w:val="bullet"/>
      <w:lvlText w:val=""/>
      <w:lvlJc w:val="left"/>
      <w:pPr>
        <w:ind w:left="5040" w:hanging="360"/>
      </w:pPr>
      <w:rPr>
        <w:rFonts w:ascii="Symbol" w:hAnsi="Symbol" w:hint="default"/>
      </w:rPr>
    </w:lvl>
    <w:lvl w:ilvl="7" w:tplc="CBEE21FE">
      <w:start w:val="1"/>
      <w:numFmt w:val="bullet"/>
      <w:lvlText w:val="o"/>
      <w:lvlJc w:val="left"/>
      <w:pPr>
        <w:ind w:left="5760" w:hanging="360"/>
      </w:pPr>
      <w:rPr>
        <w:rFonts w:ascii="Courier New" w:hAnsi="Courier New" w:hint="default"/>
      </w:rPr>
    </w:lvl>
    <w:lvl w:ilvl="8" w:tplc="551690F0">
      <w:start w:val="1"/>
      <w:numFmt w:val="bullet"/>
      <w:lvlText w:val=""/>
      <w:lvlJc w:val="left"/>
      <w:pPr>
        <w:ind w:left="6480" w:hanging="360"/>
      </w:pPr>
      <w:rPr>
        <w:rFonts w:ascii="Wingdings" w:hAnsi="Wingdings" w:hint="default"/>
      </w:rPr>
    </w:lvl>
  </w:abstractNum>
  <w:abstractNum w:abstractNumId="16" w15:restartNumberingAfterBreak="0">
    <w:nsid w:val="2EE53856"/>
    <w:multiLevelType w:val="hybridMultilevel"/>
    <w:tmpl w:val="12C42F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6B5660"/>
    <w:multiLevelType w:val="multilevel"/>
    <w:tmpl w:val="D750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0CCE7"/>
    <w:multiLevelType w:val="hybridMultilevel"/>
    <w:tmpl w:val="FFC25B4A"/>
    <w:lvl w:ilvl="0" w:tplc="88BE4EB4">
      <w:start w:val="1"/>
      <w:numFmt w:val="bullet"/>
      <w:lvlText w:val=""/>
      <w:lvlJc w:val="left"/>
      <w:pPr>
        <w:ind w:left="720" w:hanging="360"/>
      </w:pPr>
      <w:rPr>
        <w:rFonts w:ascii="Symbol" w:hAnsi="Symbol" w:hint="default"/>
      </w:rPr>
    </w:lvl>
    <w:lvl w:ilvl="1" w:tplc="DC961358">
      <w:start w:val="1"/>
      <w:numFmt w:val="bullet"/>
      <w:lvlText w:val="o"/>
      <w:lvlJc w:val="left"/>
      <w:pPr>
        <w:ind w:left="1440" w:hanging="360"/>
      </w:pPr>
      <w:rPr>
        <w:rFonts w:ascii="Courier New" w:hAnsi="Courier New" w:hint="default"/>
      </w:rPr>
    </w:lvl>
    <w:lvl w:ilvl="2" w:tplc="63C05A52">
      <w:start w:val="1"/>
      <w:numFmt w:val="bullet"/>
      <w:lvlText w:val=""/>
      <w:lvlJc w:val="left"/>
      <w:pPr>
        <w:ind w:left="2160" w:hanging="360"/>
      </w:pPr>
      <w:rPr>
        <w:rFonts w:ascii="Wingdings" w:hAnsi="Wingdings" w:hint="default"/>
      </w:rPr>
    </w:lvl>
    <w:lvl w:ilvl="3" w:tplc="8F8A4E14">
      <w:start w:val="1"/>
      <w:numFmt w:val="bullet"/>
      <w:lvlText w:val=""/>
      <w:lvlJc w:val="left"/>
      <w:pPr>
        <w:ind w:left="2880" w:hanging="360"/>
      </w:pPr>
      <w:rPr>
        <w:rFonts w:ascii="Symbol" w:hAnsi="Symbol" w:hint="default"/>
      </w:rPr>
    </w:lvl>
    <w:lvl w:ilvl="4" w:tplc="BFCC9BCC">
      <w:start w:val="1"/>
      <w:numFmt w:val="bullet"/>
      <w:lvlText w:val="o"/>
      <w:lvlJc w:val="left"/>
      <w:pPr>
        <w:ind w:left="3600" w:hanging="360"/>
      </w:pPr>
      <w:rPr>
        <w:rFonts w:ascii="Courier New" w:hAnsi="Courier New" w:hint="default"/>
      </w:rPr>
    </w:lvl>
    <w:lvl w:ilvl="5" w:tplc="5E36D924">
      <w:start w:val="1"/>
      <w:numFmt w:val="bullet"/>
      <w:lvlText w:val=""/>
      <w:lvlJc w:val="left"/>
      <w:pPr>
        <w:ind w:left="4320" w:hanging="360"/>
      </w:pPr>
      <w:rPr>
        <w:rFonts w:ascii="Wingdings" w:hAnsi="Wingdings" w:hint="default"/>
      </w:rPr>
    </w:lvl>
    <w:lvl w:ilvl="6" w:tplc="CEFC1B22">
      <w:start w:val="1"/>
      <w:numFmt w:val="bullet"/>
      <w:lvlText w:val=""/>
      <w:lvlJc w:val="left"/>
      <w:pPr>
        <w:ind w:left="5040" w:hanging="360"/>
      </w:pPr>
      <w:rPr>
        <w:rFonts w:ascii="Symbol" w:hAnsi="Symbol" w:hint="default"/>
      </w:rPr>
    </w:lvl>
    <w:lvl w:ilvl="7" w:tplc="40E2B404">
      <w:start w:val="1"/>
      <w:numFmt w:val="bullet"/>
      <w:lvlText w:val="o"/>
      <w:lvlJc w:val="left"/>
      <w:pPr>
        <w:ind w:left="5760" w:hanging="360"/>
      </w:pPr>
      <w:rPr>
        <w:rFonts w:ascii="Courier New" w:hAnsi="Courier New" w:hint="default"/>
      </w:rPr>
    </w:lvl>
    <w:lvl w:ilvl="8" w:tplc="B57CCC14">
      <w:start w:val="1"/>
      <w:numFmt w:val="bullet"/>
      <w:lvlText w:val=""/>
      <w:lvlJc w:val="left"/>
      <w:pPr>
        <w:ind w:left="6480" w:hanging="360"/>
      </w:pPr>
      <w:rPr>
        <w:rFonts w:ascii="Wingdings" w:hAnsi="Wingdings" w:hint="default"/>
      </w:rPr>
    </w:lvl>
  </w:abstractNum>
  <w:abstractNum w:abstractNumId="19" w15:restartNumberingAfterBreak="0">
    <w:nsid w:val="5D6368A8"/>
    <w:multiLevelType w:val="multilevel"/>
    <w:tmpl w:val="8E96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68814"/>
    <w:multiLevelType w:val="hybridMultilevel"/>
    <w:tmpl w:val="2528D154"/>
    <w:lvl w:ilvl="0" w:tplc="1C88083C">
      <w:start w:val="1"/>
      <w:numFmt w:val="bullet"/>
      <w:lvlText w:val=""/>
      <w:lvlJc w:val="left"/>
      <w:pPr>
        <w:ind w:left="720" w:hanging="360"/>
      </w:pPr>
      <w:rPr>
        <w:rFonts w:ascii="Symbol" w:hAnsi="Symbol" w:hint="default"/>
      </w:rPr>
    </w:lvl>
    <w:lvl w:ilvl="1" w:tplc="5E42A2FA">
      <w:start w:val="1"/>
      <w:numFmt w:val="bullet"/>
      <w:lvlText w:val="o"/>
      <w:lvlJc w:val="left"/>
      <w:pPr>
        <w:ind w:left="1440" w:hanging="360"/>
      </w:pPr>
      <w:rPr>
        <w:rFonts w:ascii="Courier New" w:hAnsi="Courier New" w:hint="default"/>
      </w:rPr>
    </w:lvl>
    <w:lvl w:ilvl="2" w:tplc="DFD0EA06">
      <w:start w:val="1"/>
      <w:numFmt w:val="bullet"/>
      <w:lvlText w:val=""/>
      <w:lvlJc w:val="left"/>
      <w:pPr>
        <w:ind w:left="2160" w:hanging="360"/>
      </w:pPr>
      <w:rPr>
        <w:rFonts w:ascii="Wingdings" w:hAnsi="Wingdings" w:hint="default"/>
      </w:rPr>
    </w:lvl>
    <w:lvl w:ilvl="3" w:tplc="86DACA6A">
      <w:start w:val="1"/>
      <w:numFmt w:val="bullet"/>
      <w:lvlText w:val=""/>
      <w:lvlJc w:val="left"/>
      <w:pPr>
        <w:ind w:left="2880" w:hanging="360"/>
      </w:pPr>
      <w:rPr>
        <w:rFonts w:ascii="Symbol" w:hAnsi="Symbol" w:hint="default"/>
      </w:rPr>
    </w:lvl>
    <w:lvl w:ilvl="4" w:tplc="F4447F60">
      <w:start w:val="1"/>
      <w:numFmt w:val="bullet"/>
      <w:lvlText w:val="o"/>
      <w:lvlJc w:val="left"/>
      <w:pPr>
        <w:ind w:left="3600" w:hanging="360"/>
      </w:pPr>
      <w:rPr>
        <w:rFonts w:ascii="Courier New" w:hAnsi="Courier New" w:hint="default"/>
      </w:rPr>
    </w:lvl>
    <w:lvl w:ilvl="5" w:tplc="EF183296">
      <w:start w:val="1"/>
      <w:numFmt w:val="bullet"/>
      <w:lvlText w:val=""/>
      <w:lvlJc w:val="left"/>
      <w:pPr>
        <w:ind w:left="4320" w:hanging="360"/>
      </w:pPr>
      <w:rPr>
        <w:rFonts w:ascii="Wingdings" w:hAnsi="Wingdings" w:hint="default"/>
      </w:rPr>
    </w:lvl>
    <w:lvl w:ilvl="6" w:tplc="0DE8F7B8">
      <w:start w:val="1"/>
      <w:numFmt w:val="bullet"/>
      <w:lvlText w:val=""/>
      <w:lvlJc w:val="left"/>
      <w:pPr>
        <w:ind w:left="5040" w:hanging="360"/>
      </w:pPr>
      <w:rPr>
        <w:rFonts w:ascii="Symbol" w:hAnsi="Symbol" w:hint="default"/>
      </w:rPr>
    </w:lvl>
    <w:lvl w:ilvl="7" w:tplc="094C2820">
      <w:start w:val="1"/>
      <w:numFmt w:val="bullet"/>
      <w:lvlText w:val="o"/>
      <w:lvlJc w:val="left"/>
      <w:pPr>
        <w:ind w:left="5760" w:hanging="360"/>
      </w:pPr>
      <w:rPr>
        <w:rFonts w:ascii="Courier New" w:hAnsi="Courier New" w:hint="default"/>
      </w:rPr>
    </w:lvl>
    <w:lvl w:ilvl="8" w:tplc="BF3C0886">
      <w:start w:val="1"/>
      <w:numFmt w:val="bullet"/>
      <w:lvlText w:val=""/>
      <w:lvlJc w:val="left"/>
      <w:pPr>
        <w:ind w:left="6480" w:hanging="360"/>
      </w:pPr>
      <w:rPr>
        <w:rFonts w:ascii="Wingdings" w:hAnsi="Wingdings" w:hint="default"/>
      </w:rPr>
    </w:lvl>
  </w:abstractNum>
  <w:abstractNum w:abstractNumId="21" w15:restartNumberingAfterBreak="0">
    <w:nsid w:val="743C6BE4"/>
    <w:multiLevelType w:val="hybridMultilevel"/>
    <w:tmpl w:val="A718E1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F635AFB"/>
    <w:multiLevelType w:val="hybridMultilevel"/>
    <w:tmpl w:val="451CC0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264522">
    <w:abstractNumId w:val="10"/>
  </w:num>
  <w:num w:numId="2" w16cid:durableId="632371132">
    <w:abstractNumId w:val="15"/>
  </w:num>
  <w:num w:numId="3" w16cid:durableId="1784418527">
    <w:abstractNumId w:val="18"/>
  </w:num>
  <w:num w:numId="4" w16cid:durableId="980958882">
    <w:abstractNumId w:val="20"/>
  </w:num>
  <w:num w:numId="5" w16cid:durableId="522327015">
    <w:abstractNumId w:val="8"/>
  </w:num>
  <w:num w:numId="6" w16cid:durableId="293752468">
    <w:abstractNumId w:val="6"/>
  </w:num>
  <w:num w:numId="7" w16cid:durableId="236673415">
    <w:abstractNumId w:val="5"/>
  </w:num>
  <w:num w:numId="8" w16cid:durableId="1399938930">
    <w:abstractNumId w:val="4"/>
  </w:num>
  <w:num w:numId="9" w16cid:durableId="68309989">
    <w:abstractNumId w:val="7"/>
  </w:num>
  <w:num w:numId="10" w16cid:durableId="724717521">
    <w:abstractNumId w:val="3"/>
  </w:num>
  <w:num w:numId="11" w16cid:durableId="34547217">
    <w:abstractNumId w:val="2"/>
  </w:num>
  <w:num w:numId="12" w16cid:durableId="947085489">
    <w:abstractNumId w:val="1"/>
  </w:num>
  <w:num w:numId="13" w16cid:durableId="2029872479">
    <w:abstractNumId w:val="0"/>
  </w:num>
  <w:num w:numId="14" w16cid:durableId="1070033929">
    <w:abstractNumId w:val="21"/>
  </w:num>
  <w:num w:numId="15" w16cid:durableId="1905675355">
    <w:abstractNumId w:val="11"/>
  </w:num>
  <w:num w:numId="16" w16cid:durableId="509294092">
    <w:abstractNumId w:val="14"/>
  </w:num>
  <w:num w:numId="17" w16cid:durableId="296686052">
    <w:abstractNumId w:val="17"/>
  </w:num>
  <w:num w:numId="18" w16cid:durableId="1163352245">
    <w:abstractNumId w:val="9"/>
  </w:num>
  <w:num w:numId="19" w16cid:durableId="1707214077">
    <w:abstractNumId w:val="19"/>
  </w:num>
  <w:num w:numId="20" w16cid:durableId="167793560">
    <w:abstractNumId w:val="16"/>
  </w:num>
  <w:num w:numId="21" w16cid:durableId="1943371073">
    <w:abstractNumId w:val="22"/>
  </w:num>
  <w:num w:numId="22" w16cid:durableId="1319571740">
    <w:abstractNumId w:val="13"/>
  </w:num>
  <w:num w:numId="23" w16cid:durableId="1930654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DD1"/>
    <w:rsid w:val="00034616"/>
    <w:rsid w:val="00040224"/>
    <w:rsid w:val="0006063C"/>
    <w:rsid w:val="000C5D19"/>
    <w:rsid w:val="000F3A33"/>
    <w:rsid w:val="0015074B"/>
    <w:rsid w:val="0029639D"/>
    <w:rsid w:val="00326F90"/>
    <w:rsid w:val="00444227"/>
    <w:rsid w:val="005F7384"/>
    <w:rsid w:val="006B6009"/>
    <w:rsid w:val="00715AEC"/>
    <w:rsid w:val="00717710"/>
    <w:rsid w:val="007A07BA"/>
    <w:rsid w:val="008106B2"/>
    <w:rsid w:val="00835020"/>
    <w:rsid w:val="00850505"/>
    <w:rsid w:val="00897196"/>
    <w:rsid w:val="00924792"/>
    <w:rsid w:val="00930755"/>
    <w:rsid w:val="009618FB"/>
    <w:rsid w:val="00967116"/>
    <w:rsid w:val="00993587"/>
    <w:rsid w:val="00AA1D8D"/>
    <w:rsid w:val="00B167CA"/>
    <w:rsid w:val="00B47730"/>
    <w:rsid w:val="00C07413"/>
    <w:rsid w:val="00C32DB7"/>
    <w:rsid w:val="00C50455"/>
    <w:rsid w:val="00C9388B"/>
    <w:rsid w:val="00CB0664"/>
    <w:rsid w:val="00CF0CE3"/>
    <w:rsid w:val="00D675F9"/>
    <w:rsid w:val="00D80BCD"/>
    <w:rsid w:val="00D9060B"/>
    <w:rsid w:val="00DA232D"/>
    <w:rsid w:val="00DA44AB"/>
    <w:rsid w:val="00DB39C8"/>
    <w:rsid w:val="00E1703C"/>
    <w:rsid w:val="00E24F12"/>
    <w:rsid w:val="00F47D96"/>
    <w:rsid w:val="00FC693F"/>
    <w:rsid w:val="00FF315F"/>
    <w:rsid w:val="1891CBCE"/>
    <w:rsid w:val="1FF08553"/>
    <w:rsid w:val="2A53FCB8"/>
    <w:rsid w:val="488A8B2B"/>
    <w:rsid w:val="607D037D"/>
    <w:rsid w:val="669D0DD5"/>
    <w:rsid w:val="7307E5D2"/>
    <w:rsid w:val="7D1173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9E444"/>
  <w14:defaultImageDpi w14:val="300"/>
  <w15:docId w15:val="{7738ADAA-0271-4B6D-A0CA-E427668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5"/>
      </w:numPr>
      <w:contextualSpacing/>
    </w:pPr>
  </w:style>
  <w:style w:type="paragraph" w:styleId="Listepuces2">
    <w:name w:val="List Bullet 2"/>
    <w:basedOn w:val="Normal"/>
    <w:uiPriority w:val="99"/>
    <w:unhideWhenUsed/>
    <w:rsid w:val="00326F90"/>
    <w:pPr>
      <w:numPr>
        <w:numId w:val="6"/>
      </w:numPr>
      <w:contextualSpacing/>
    </w:pPr>
  </w:style>
  <w:style w:type="paragraph" w:styleId="Listepuces3">
    <w:name w:val="List Bullet 3"/>
    <w:basedOn w:val="Normal"/>
    <w:uiPriority w:val="99"/>
    <w:unhideWhenUsed/>
    <w:rsid w:val="00326F90"/>
    <w:pPr>
      <w:numPr>
        <w:numId w:val="7"/>
      </w:numPr>
      <w:contextualSpacing/>
    </w:pPr>
  </w:style>
  <w:style w:type="paragraph" w:styleId="Listenumros">
    <w:name w:val="List Number"/>
    <w:basedOn w:val="Normal"/>
    <w:uiPriority w:val="99"/>
    <w:unhideWhenUsed/>
    <w:rsid w:val="00326F90"/>
    <w:pPr>
      <w:numPr>
        <w:numId w:val="9"/>
      </w:numPr>
      <w:contextualSpacing/>
    </w:pPr>
  </w:style>
  <w:style w:type="paragraph" w:styleId="Listenumros2">
    <w:name w:val="List Number 2"/>
    <w:basedOn w:val="Normal"/>
    <w:uiPriority w:val="99"/>
    <w:unhideWhenUsed/>
    <w:rsid w:val="0029639D"/>
    <w:pPr>
      <w:numPr>
        <w:numId w:val="10"/>
      </w:numPr>
      <w:contextualSpacing/>
    </w:pPr>
  </w:style>
  <w:style w:type="paragraph" w:styleId="Listenumros3">
    <w:name w:val="List Number 3"/>
    <w:basedOn w:val="Normal"/>
    <w:uiPriority w:val="99"/>
    <w:unhideWhenUsed/>
    <w:rsid w:val="0029639D"/>
    <w:pPr>
      <w:numPr>
        <w:numId w:val="11"/>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uiPriority w:val="99"/>
    <w:unhideWhenUsed/>
    <w:rsid w:val="00C9388B"/>
    <w:rPr>
      <w:color w:val="0563C1"/>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DA232D"/>
    <w:pPr>
      <w:spacing w:after="0" w:line="240" w:lineRule="auto"/>
    </w:pPr>
  </w:style>
  <w:style w:type="paragraph" w:styleId="Objetducommentaire">
    <w:name w:val="annotation subject"/>
    <w:basedOn w:val="Commentaire"/>
    <w:next w:val="Commentaire"/>
    <w:link w:val="ObjetducommentaireCar"/>
    <w:uiPriority w:val="99"/>
    <w:semiHidden/>
    <w:unhideWhenUsed/>
    <w:rsid w:val="00D9060B"/>
    <w:rPr>
      <w:b/>
      <w:bCs/>
    </w:rPr>
  </w:style>
  <w:style w:type="character" w:customStyle="1" w:styleId="ObjetducommentaireCar">
    <w:name w:val="Objet du commentaire Car"/>
    <w:basedOn w:val="CommentaireCar"/>
    <w:link w:val="Objetducommentaire"/>
    <w:uiPriority w:val="99"/>
    <w:semiHidden/>
    <w:rsid w:val="00D906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cd@cncd.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8691</Characters>
  <Application>Microsoft Office Word</Application>
  <DocSecurity>0</DocSecurity>
  <Lines>211</Lines>
  <Paragraphs>107</Paragraphs>
  <ScaleCrop>false</ScaleCrop>
  <Manager/>
  <Company/>
  <LinksUpToDate>false</LinksUpToDate>
  <CharactersWithSpaces>10066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Arnaud Zacharie</cp:lastModifiedBy>
  <cp:revision>3</cp:revision>
  <dcterms:created xsi:type="dcterms:W3CDTF">2026-05-21T08:53:00Z</dcterms:created>
  <dcterms:modified xsi:type="dcterms:W3CDTF">2026-05-27T14:45:00Z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dc1db8-2f64-468c-a02a-c7d04ea19826_Enabled">
    <vt:lpwstr>true</vt:lpwstr>
  </property>
  <property fmtid="{D5CDD505-2E9C-101B-9397-08002B2CF9AE}" pid="3" name="MSIP_Label_dddc1db8-2f64-468c-a02a-c7d04ea19826_SetDate">
    <vt:lpwstr>2026-05-20T08:32:22Z</vt:lpwstr>
  </property>
  <property fmtid="{D5CDD505-2E9C-101B-9397-08002B2CF9AE}" pid="4" name="MSIP_Label_dddc1db8-2f64-468c-a02a-c7d04ea19826_Method">
    <vt:lpwstr>Privileged</vt:lpwstr>
  </property>
  <property fmtid="{D5CDD505-2E9C-101B-9397-08002B2CF9AE}" pid="5" name="MSIP_Label_dddc1db8-2f64-468c-a02a-c7d04ea19826_Name">
    <vt:lpwstr>Non classifié - Niet geclassificeerd</vt:lpwstr>
  </property>
  <property fmtid="{D5CDD505-2E9C-101B-9397-08002B2CF9AE}" pid="6" name="MSIP_Label_dddc1db8-2f64-468c-a02a-c7d04ea19826_SiteId">
    <vt:lpwstr>80153b30-e434-429b-b41c-0d47f9deec42</vt:lpwstr>
  </property>
  <property fmtid="{D5CDD505-2E9C-101B-9397-08002B2CF9AE}" pid="7" name="MSIP_Label_dddc1db8-2f64-468c-a02a-c7d04ea19826_ActionId">
    <vt:lpwstr>78c1284b-307d-4b3a-afdb-96e8e5690418</vt:lpwstr>
  </property>
  <property fmtid="{D5CDD505-2E9C-101B-9397-08002B2CF9AE}" pid="8" name="MSIP_Label_dddc1db8-2f64-468c-a02a-c7d04ea19826_ContentBits">
    <vt:lpwstr>0</vt:lpwstr>
  </property>
  <property fmtid="{D5CDD505-2E9C-101B-9397-08002B2CF9AE}" pid="9" name="MSIP_Label_dddc1db8-2f64-468c-a02a-c7d04ea19826_Tag">
    <vt:lpwstr>10, 0, 1, 1</vt:lpwstr>
  </property>
</Properties>
</file>